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06D6" w14:textId="77777777" w:rsidR="00BD7F11" w:rsidRPr="00CE06B9" w:rsidRDefault="00DF19FC" w:rsidP="00BB580B">
      <w:pPr>
        <w:jc w:val="center"/>
        <w:rPr>
          <w:b/>
          <w:lang w:val="de-CH"/>
        </w:rPr>
      </w:pPr>
      <w:r w:rsidRPr="00CE06B9">
        <w:rPr>
          <w:b/>
          <w:lang w:val="de-CH"/>
        </w:rPr>
        <w:t>Wissenschaftliche Begründung des Global Portfolio One</w:t>
      </w:r>
    </w:p>
    <w:p w14:paraId="6807256B" w14:textId="77777777" w:rsidR="00BB580B" w:rsidRDefault="00BB580B" w:rsidP="00BB580B">
      <w:pPr>
        <w:jc w:val="center"/>
        <w:rPr>
          <w:lang w:val="de-CH"/>
        </w:rPr>
      </w:pPr>
      <w:r>
        <w:rPr>
          <w:lang w:val="de-CH"/>
        </w:rPr>
        <w:t>Prof. Dr. Thorsten Hens</w:t>
      </w:r>
    </w:p>
    <w:p w14:paraId="7533665D" w14:textId="77777777" w:rsidR="00BB580B" w:rsidRDefault="00BB580B" w:rsidP="00BB580B">
      <w:pPr>
        <w:jc w:val="center"/>
        <w:rPr>
          <w:lang w:val="de-CH"/>
        </w:rPr>
      </w:pPr>
      <w:r>
        <w:rPr>
          <w:lang w:val="de-CH"/>
        </w:rPr>
        <w:t>19. Januar 2021</w:t>
      </w:r>
    </w:p>
    <w:p w14:paraId="4FEAFE96" w14:textId="77777777" w:rsidR="000B5BB3" w:rsidRDefault="00D6409E" w:rsidP="00BB580B">
      <w:pPr>
        <w:jc w:val="center"/>
        <w:rPr>
          <w:lang w:val="de-CH"/>
        </w:rPr>
      </w:pPr>
      <w:r>
        <w:rPr>
          <w:lang w:val="de-CH"/>
        </w:rPr>
        <w:t>«</w:t>
      </w:r>
      <w:r w:rsidRPr="00D6409E">
        <w:rPr>
          <w:lang w:val="de-CH"/>
        </w:rPr>
        <w:t>Getrennt marschieren — vereint schlagen</w:t>
      </w:r>
      <w:r>
        <w:rPr>
          <w:lang w:val="de-CH"/>
        </w:rPr>
        <w:t>!»</w:t>
      </w:r>
      <w:r w:rsidRPr="00D6409E">
        <w:rPr>
          <w:lang w:val="de-CH"/>
        </w:rPr>
        <w:t xml:space="preserve"> Helmuth von Moltke </w:t>
      </w:r>
    </w:p>
    <w:p w14:paraId="0535A3A0" w14:textId="77777777" w:rsidR="00BB580B" w:rsidRDefault="00BB580B">
      <w:pPr>
        <w:rPr>
          <w:lang w:val="de-CH"/>
        </w:rPr>
      </w:pPr>
    </w:p>
    <w:p w14:paraId="75D2F083" w14:textId="77777777" w:rsidR="00BB580B" w:rsidRPr="00CE06B9" w:rsidRDefault="00BB580B">
      <w:pPr>
        <w:rPr>
          <w:b/>
          <w:lang w:val="de-CH"/>
        </w:rPr>
      </w:pPr>
      <w:r w:rsidRPr="00CE06B9">
        <w:rPr>
          <w:b/>
          <w:lang w:val="de-CH"/>
        </w:rPr>
        <w:t>Ziel</w:t>
      </w:r>
    </w:p>
    <w:p w14:paraId="3861C50E" w14:textId="77777777" w:rsidR="00BB580B" w:rsidRDefault="00BB580B" w:rsidP="00BB580B">
      <w:pPr>
        <w:jc w:val="both"/>
        <w:rPr>
          <w:lang w:val="de-CH"/>
        </w:rPr>
      </w:pPr>
      <w:r>
        <w:rPr>
          <w:lang w:val="de-CH"/>
        </w:rPr>
        <w:t xml:space="preserve">In seinem Buch «Erfolgreich Wissenschaftlich Investieren» schlägt Dr. Andreas Beck eine Anlagestrategie vor, die er in dem Fond «Global Portfolio One» praktisch umgesetzt hat. Dieses Dokument zeigt, dass die vorgeschlagene Anlagestrategie ziemlich genau die evolutionäre Portfolio Strategie ist, die ich mit Ko-autoren über die vergangenen zwanzig Jahre aus theoretischen Überlegungen hergeleitet habe. Ich freue mich, dass im Global Portfolio One Theorie und Praxis </w:t>
      </w:r>
      <w:r w:rsidR="00956167">
        <w:rPr>
          <w:lang w:val="de-CH"/>
        </w:rPr>
        <w:t>zusammen</w:t>
      </w:r>
      <w:r w:rsidR="000B5BB3">
        <w:rPr>
          <w:lang w:val="de-CH"/>
        </w:rPr>
        <w:t xml:space="preserve">kommen – auch </w:t>
      </w:r>
      <w:r w:rsidR="00614A80">
        <w:rPr>
          <w:lang w:val="de-CH"/>
        </w:rPr>
        <w:t>wenn sie</w:t>
      </w:r>
      <w:r w:rsidR="000B5BB3">
        <w:rPr>
          <w:lang w:val="de-CH"/>
        </w:rPr>
        <w:t xml:space="preserve"> </w:t>
      </w:r>
      <w:r>
        <w:rPr>
          <w:lang w:val="de-CH"/>
        </w:rPr>
        <w:t xml:space="preserve">unabhängig </w:t>
      </w:r>
      <w:r w:rsidR="000B5BB3">
        <w:rPr>
          <w:lang w:val="de-CH"/>
        </w:rPr>
        <w:t xml:space="preserve">voneinander entwickelt </w:t>
      </w:r>
      <w:r w:rsidR="00614A80">
        <w:rPr>
          <w:lang w:val="de-CH"/>
        </w:rPr>
        <w:t>wurden</w:t>
      </w:r>
      <w:r>
        <w:rPr>
          <w:lang w:val="de-CH"/>
        </w:rPr>
        <w:t xml:space="preserve">. </w:t>
      </w:r>
    </w:p>
    <w:p w14:paraId="19D1807B" w14:textId="77777777" w:rsidR="00BB580B" w:rsidRPr="001346C2" w:rsidRDefault="00944A78">
      <w:pPr>
        <w:rPr>
          <w:b/>
          <w:lang w:val="de-DE"/>
        </w:rPr>
      </w:pPr>
      <w:r w:rsidRPr="001346C2">
        <w:rPr>
          <w:b/>
          <w:lang w:val="de-DE"/>
        </w:rPr>
        <w:t>Der Global Portfolio One</w:t>
      </w:r>
    </w:p>
    <w:p w14:paraId="153AB2B9" w14:textId="77777777" w:rsidR="00D80594" w:rsidRDefault="00944A78" w:rsidP="00D80594">
      <w:pPr>
        <w:jc w:val="both"/>
        <w:rPr>
          <w:lang w:val="de-CH"/>
        </w:rPr>
      </w:pPr>
      <w:r w:rsidRPr="00944A78">
        <w:rPr>
          <w:lang w:val="de-CH"/>
        </w:rPr>
        <w:t xml:space="preserve">Der Global Portfolio One, </w:t>
      </w:r>
      <w:r>
        <w:rPr>
          <w:lang w:val="de-CH"/>
        </w:rPr>
        <w:t xml:space="preserve">GPO, bildet die </w:t>
      </w:r>
      <w:r w:rsidR="0025715C">
        <w:rPr>
          <w:lang w:val="de-CH"/>
        </w:rPr>
        <w:t>«</w:t>
      </w:r>
      <w:r>
        <w:rPr>
          <w:lang w:val="de-CH"/>
        </w:rPr>
        <w:t>Welt AG</w:t>
      </w:r>
      <w:r w:rsidR="0025715C">
        <w:rPr>
          <w:lang w:val="de-CH"/>
        </w:rPr>
        <w:t>» in Form von</w:t>
      </w:r>
      <w:r>
        <w:rPr>
          <w:lang w:val="de-CH"/>
        </w:rPr>
        <w:t xml:space="preserve"> E</w:t>
      </w:r>
      <w:r w:rsidRPr="00944A78">
        <w:rPr>
          <w:lang w:val="de-CH"/>
        </w:rPr>
        <w:t xml:space="preserve">xchange </w:t>
      </w:r>
      <w:r>
        <w:rPr>
          <w:lang w:val="de-CH"/>
        </w:rPr>
        <w:t>Traded Fund</w:t>
      </w:r>
      <w:r w:rsidR="0025715C">
        <w:rPr>
          <w:lang w:val="de-CH"/>
        </w:rPr>
        <w:t>s</w:t>
      </w:r>
      <w:r w:rsidR="0025715C">
        <w:rPr>
          <w:rStyle w:val="Funotenzeichen"/>
          <w:lang w:val="de-CH"/>
        </w:rPr>
        <w:footnoteReference w:id="1"/>
      </w:r>
      <w:r>
        <w:rPr>
          <w:lang w:val="de-CH"/>
        </w:rPr>
        <w:t xml:space="preserve">, ETF, ab. </w:t>
      </w:r>
      <w:r w:rsidR="0025715C">
        <w:rPr>
          <w:lang w:val="de-CH"/>
        </w:rPr>
        <w:t xml:space="preserve">Durch den GPO bekommen Investoren kostengünstig Zugang zu Aktien von </w:t>
      </w:r>
      <w:r w:rsidR="00516E7B">
        <w:rPr>
          <w:lang w:val="de-CH"/>
        </w:rPr>
        <w:t>mehr als 7</w:t>
      </w:r>
      <w:r w:rsidR="0025715C">
        <w:rPr>
          <w:lang w:val="de-CH"/>
        </w:rPr>
        <w:t xml:space="preserve">000 Unternehmen weltweit. </w:t>
      </w:r>
      <w:r w:rsidR="009E618E">
        <w:rPr>
          <w:lang w:val="de-CH"/>
        </w:rPr>
        <w:t xml:space="preserve">Der GPO ist </w:t>
      </w:r>
      <w:r w:rsidR="00516E7B">
        <w:rPr>
          <w:lang w:val="de-CH"/>
        </w:rPr>
        <w:t>mit 7</w:t>
      </w:r>
      <w:r w:rsidR="009E618E">
        <w:rPr>
          <w:lang w:val="de-CH"/>
        </w:rPr>
        <w:t xml:space="preserve">000 Aktien sehr breit diversifiziert. Er schichtet zwischen den Aktien und Cash </w:t>
      </w:r>
      <w:r w:rsidR="00516E7B">
        <w:rPr>
          <w:lang w:val="de-CH"/>
        </w:rPr>
        <w:t>(Investitionsr</w:t>
      </w:r>
      <w:r w:rsidR="009E618E">
        <w:rPr>
          <w:lang w:val="de-CH"/>
        </w:rPr>
        <w:t>eserve</w:t>
      </w:r>
      <w:r w:rsidR="00516E7B">
        <w:rPr>
          <w:lang w:val="de-CH"/>
        </w:rPr>
        <w:t>)</w:t>
      </w:r>
      <w:r w:rsidR="009E618E">
        <w:rPr>
          <w:lang w:val="de-CH"/>
        </w:rPr>
        <w:t xml:space="preserve"> nach der Eigenkapitalrentabilität</w:t>
      </w:r>
      <w:r w:rsidR="00CB3A02">
        <w:rPr>
          <w:rStyle w:val="Funotenzeichen"/>
          <w:lang w:val="de-CH"/>
        </w:rPr>
        <w:footnoteReference w:id="2"/>
      </w:r>
      <w:r w:rsidR="009E618E">
        <w:rPr>
          <w:lang w:val="de-CH"/>
        </w:rPr>
        <w:t xml:space="preserve"> der Aktien </w:t>
      </w:r>
      <w:r w:rsidR="00CD4F14">
        <w:rPr>
          <w:lang w:val="de-CH"/>
        </w:rPr>
        <w:t xml:space="preserve">kontrazyklisch </w:t>
      </w:r>
      <w:r w:rsidR="009E618E">
        <w:rPr>
          <w:lang w:val="de-CH"/>
        </w:rPr>
        <w:t xml:space="preserve">um. </w:t>
      </w:r>
      <w:r w:rsidR="00CD4F14">
        <w:rPr>
          <w:lang w:val="de-CH"/>
        </w:rPr>
        <w:t>Das heisst, wenn die Kurse der Aktien einbrechen und zu vermuten ist, dass es sich dabei um eine Übertreibung</w:t>
      </w:r>
      <w:r w:rsidR="00CD4F14">
        <w:rPr>
          <w:rStyle w:val="Funotenzeichen"/>
          <w:lang w:val="de-CH"/>
        </w:rPr>
        <w:footnoteReference w:id="3"/>
      </w:r>
      <w:r w:rsidR="00CD4F14">
        <w:rPr>
          <w:lang w:val="de-CH"/>
        </w:rPr>
        <w:t xml:space="preserve"> handelt, dann erhöht der GPO den Aktienanteil, da zu vermuten ist, dass die Eigenkapitalrendite gestiegen ist. </w:t>
      </w:r>
      <w:r w:rsidR="00CB3A02">
        <w:rPr>
          <w:lang w:val="de-CH"/>
        </w:rPr>
        <w:t xml:space="preserve">Der Mechanismus </w:t>
      </w:r>
      <w:r w:rsidR="00D80594">
        <w:rPr>
          <w:lang w:val="de-CH"/>
        </w:rPr>
        <w:t>der Umschichtungen erfolgt anhand der</w:t>
      </w:r>
      <w:r w:rsidR="00CB3A02">
        <w:rPr>
          <w:lang w:val="de-CH"/>
        </w:rPr>
        <w:t xml:space="preserve"> Aufteilung des globalen Aktienmarktes in</w:t>
      </w:r>
      <w:r w:rsidR="00D80594">
        <w:rPr>
          <w:lang w:val="de-CH"/>
        </w:rPr>
        <w:t xml:space="preserve"> drei </w:t>
      </w:r>
      <w:r w:rsidR="00D80594" w:rsidRPr="00D80594">
        <w:rPr>
          <w:lang w:val="de-CH"/>
        </w:rPr>
        <w:t xml:space="preserve">Regimes: </w:t>
      </w:r>
    </w:p>
    <w:p w14:paraId="07E713FD" w14:textId="77777777" w:rsidR="00D80594" w:rsidRPr="00D80594" w:rsidRDefault="00D80594" w:rsidP="00D80594">
      <w:pPr>
        <w:jc w:val="both"/>
        <w:rPr>
          <w:lang w:val="de-CH"/>
        </w:rPr>
      </w:pPr>
      <w:r w:rsidRPr="00D80594">
        <w:rPr>
          <w:lang w:val="de-CH"/>
        </w:rPr>
        <w:t>A „Normal“ (Risikokapitalkosten der Welt AG sind auf Normalniveau):</w:t>
      </w:r>
    </w:p>
    <w:p w14:paraId="46F68DE7" w14:textId="77777777" w:rsidR="00D80594" w:rsidRPr="00D80594" w:rsidRDefault="00D80594" w:rsidP="00D80594">
      <w:pPr>
        <w:jc w:val="both"/>
        <w:rPr>
          <w:lang w:val="de-CH"/>
        </w:rPr>
      </w:pPr>
      <w:r w:rsidRPr="00D80594">
        <w:rPr>
          <w:lang w:val="de-CH"/>
        </w:rPr>
        <w:t>80% Welt AG / 20% Investitionsreserve</w:t>
      </w:r>
    </w:p>
    <w:p w14:paraId="7BAEAB35" w14:textId="77777777" w:rsidR="00D80594" w:rsidRPr="00D80594" w:rsidRDefault="00D80594" w:rsidP="00D80594">
      <w:pPr>
        <w:jc w:val="both"/>
        <w:rPr>
          <w:lang w:val="de-CH"/>
        </w:rPr>
      </w:pPr>
      <w:r w:rsidRPr="00D80594">
        <w:rPr>
          <w:lang w:val="de-CH"/>
        </w:rPr>
        <w:t>B „Eigenkapitalknappheit“ (Risikokapitalkosten der Welt AG sind deutlich erhöht):</w:t>
      </w:r>
    </w:p>
    <w:p w14:paraId="76EB1DB7" w14:textId="77777777" w:rsidR="00D80594" w:rsidRPr="00D80594" w:rsidRDefault="00D80594" w:rsidP="00D80594">
      <w:pPr>
        <w:jc w:val="both"/>
        <w:rPr>
          <w:lang w:val="de-CH"/>
        </w:rPr>
      </w:pPr>
      <w:r w:rsidRPr="00D80594">
        <w:rPr>
          <w:lang w:val="de-CH"/>
        </w:rPr>
        <w:t>90% Welt AG / 10% Investitionsreserve</w:t>
      </w:r>
    </w:p>
    <w:p w14:paraId="34DFF349" w14:textId="77777777" w:rsidR="00D80594" w:rsidRPr="00D80594" w:rsidRDefault="00D80594" w:rsidP="00D80594">
      <w:pPr>
        <w:jc w:val="both"/>
        <w:rPr>
          <w:lang w:val="de-CH"/>
        </w:rPr>
      </w:pPr>
      <w:r w:rsidRPr="00D80594">
        <w:rPr>
          <w:lang w:val="de-CH"/>
        </w:rPr>
        <w:t>C „Eskalation der Eigenkapitalknappheit“ (Risikokapitalkosten der Welt AG sind extrem hoch):</w:t>
      </w:r>
    </w:p>
    <w:p w14:paraId="0E851076" w14:textId="77777777" w:rsidR="00D80594" w:rsidRPr="00D80594" w:rsidRDefault="00D80594" w:rsidP="00D80594">
      <w:pPr>
        <w:jc w:val="both"/>
        <w:rPr>
          <w:lang w:val="de-CH"/>
        </w:rPr>
      </w:pPr>
      <w:r w:rsidRPr="00D80594">
        <w:rPr>
          <w:lang w:val="de-CH"/>
        </w:rPr>
        <w:t xml:space="preserve">100% Welt AG   </w:t>
      </w:r>
    </w:p>
    <w:p w14:paraId="21D549A6" w14:textId="77777777" w:rsidR="00D80594" w:rsidRPr="00D80594" w:rsidRDefault="00D80594" w:rsidP="00D80594">
      <w:pPr>
        <w:jc w:val="both"/>
        <w:rPr>
          <w:lang w:val="de-CH"/>
        </w:rPr>
      </w:pPr>
      <w:r>
        <w:rPr>
          <w:lang w:val="de-CH"/>
        </w:rPr>
        <w:t xml:space="preserve">Die </w:t>
      </w:r>
      <w:r w:rsidRPr="00D80594">
        <w:rPr>
          <w:lang w:val="de-CH"/>
        </w:rPr>
        <w:t xml:space="preserve">Steuerung </w:t>
      </w:r>
      <w:r>
        <w:rPr>
          <w:lang w:val="de-CH"/>
        </w:rPr>
        <w:t>erfolgt vereinfacht so</w:t>
      </w:r>
      <w:r w:rsidRPr="00D80594">
        <w:rPr>
          <w:lang w:val="de-CH"/>
        </w:rPr>
        <w:t>:</w:t>
      </w:r>
    </w:p>
    <w:p w14:paraId="0E77236C" w14:textId="77777777" w:rsidR="00D80594" w:rsidRPr="00D80594" w:rsidRDefault="00D80594" w:rsidP="00D80594">
      <w:pPr>
        <w:jc w:val="both"/>
        <w:rPr>
          <w:lang w:val="de-CH"/>
        </w:rPr>
      </w:pPr>
      <w:r w:rsidRPr="00D80594">
        <w:rPr>
          <w:lang w:val="de-CH"/>
        </w:rPr>
        <w:t>A→B:</w:t>
      </w:r>
      <w:r w:rsidRPr="00D80594">
        <w:rPr>
          <w:lang w:val="de-CH"/>
        </w:rPr>
        <w:tab/>
        <w:t xml:space="preserve">Aktienmarktverlust zum Dreijahreshoch &gt; 20%, Sprunghafte Erhöhung der Volatilität am Aktienmarkt, Ausweitung der Risikoprämien bei Unternehmensanleihen. </w:t>
      </w:r>
    </w:p>
    <w:p w14:paraId="0B96AFF8" w14:textId="77777777" w:rsidR="00D80594" w:rsidRPr="00D80594" w:rsidRDefault="00D80594" w:rsidP="00D80594">
      <w:pPr>
        <w:jc w:val="both"/>
        <w:rPr>
          <w:lang w:val="de-CH"/>
        </w:rPr>
      </w:pPr>
      <w:r w:rsidRPr="00D80594">
        <w:rPr>
          <w:lang w:val="de-CH"/>
        </w:rPr>
        <w:t>B→C:</w:t>
      </w:r>
      <w:r w:rsidRPr="00D80594">
        <w:rPr>
          <w:lang w:val="de-CH"/>
        </w:rPr>
        <w:tab/>
        <w:t xml:space="preserve">Aktienmarktverlust seit Regimewechsel A→B oder C→B &gt; 25% </w:t>
      </w:r>
    </w:p>
    <w:p w14:paraId="2EE96661" w14:textId="77777777" w:rsidR="00D80594" w:rsidRPr="00D80594" w:rsidRDefault="00D80594" w:rsidP="00D80594">
      <w:pPr>
        <w:jc w:val="both"/>
        <w:rPr>
          <w:lang w:val="de-CH"/>
        </w:rPr>
      </w:pPr>
      <w:r w:rsidRPr="00D80594">
        <w:rPr>
          <w:lang w:val="de-CH"/>
        </w:rPr>
        <w:lastRenderedPageBreak/>
        <w:t>Eskalation der Risikoprämien bei Unternehmensanleihen.</w:t>
      </w:r>
    </w:p>
    <w:p w14:paraId="4B09744D" w14:textId="77777777" w:rsidR="00D80594" w:rsidRPr="00D80594" w:rsidRDefault="00D80594" w:rsidP="00D80594">
      <w:pPr>
        <w:jc w:val="both"/>
        <w:rPr>
          <w:lang w:val="de-CH"/>
        </w:rPr>
      </w:pPr>
      <w:r w:rsidRPr="00D80594">
        <w:rPr>
          <w:lang w:val="de-CH"/>
        </w:rPr>
        <w:t>C→B:</w:t>
      </w:r>
      <w:r w:rsidRPr="00D80594">
        <w:rPr>
          <w:lang w:val="de-CH"/>
        </w:rPr>
        <w:tab/>
        <w:t>Aktienmarktgewinn zum Dreijahrestief &gt; 50%, Beruhigung der Volatilität am Aktienmarkt und der Risikoprämien am Anleihemarkt.</w:t>
      </w:r>
    </w:p>
    <w:p w14:paraId="44BF7860" w14:textId="77777777" w:rsidR="00944A78" w:rsidRDefault="00D80594" w:rsidP="00D80594">
      <w:pPr>
        <w:jc w:val="both"/>
        <w:rPr>
          <w:lang w:val="de-CH"/>
        </w:rPr>
      </w:pPr>
      <w:r w:rsidRPr="00D80594">
        <w:rPr>
          <w:lang w:val="de-CH"/>
        </w:rPr>
        <w:t>B→A:</w:t>
      </w:r>
      <w:r w:rsidRPr="00D80594">
        <w:rPr>
          <w:lang w:val="de-CH"/>
        </w:rPr>
        <w:tab/>
        <w:t>Aktienmarktgewinn seit Regimewechsel A→B oder C→B &gt; 25%, Rückkehr der Volatilität und der Risikoprämien zum langfristigen Mittel.</w:t>
      </w:r>
    </w:p>
    <w:p w14:paraId="0079E2E1" w14:textId="77777777" w:rsidR="00D80594" w:rsidRDefault="00B91B61" w:rsidP="00D80594">
      <w:pPr>
        <w:jc w:val="both"/>
        <w:rPr>
          <w:lang w:val="de-CH"/>
        </w:rPr>
      </w:pPr>
      <w:r>
        <w:rPr>
          <w:lang w:val="de-CH"/>
        </w:rPr>
        <w:t>Wie die Corona-krise im Frühjahr 2020 gezeigt hat, ist diese kontrazyklische Steuerung sehr erfolgreich.</w:t>
      </w:r>
      <w:r w:rsidR="00516E7B">
        <w:rPr>
          <w:lang w:val="de-CH"/>
        </w:rPr>
        <w:t xml:space="preserve"> Für Details verweise ich auch das Buch</w:t>
      </w:r>
      <w:r>
        <w:rPr>
          <w:lang w:val="de-CH"/>
        </w:rPr>
        <w:t xml:space="preserve"> </w:t>
      </w:r>
      <w:r w:rsidR="00516E7B" w:rsidRPr="00516E7B">
        <w:rPr>
          <w:lang w:val="de-CH"/>
        </w:rPr>
        <w:t>«Erfolgreich Wissenscha</w:t>
      </w:r>
      <w:r w:rsidR="00516E7B">
        <w:rPr>
          <w:lang w:val="de-CH"/>
        </w:rPr>
        <w:t xml:space="preserve">ftlich Investieren» von </w:t>
      </w:r>
      <w:r w:rsidR="00516E7B" w:rsidRPr="00516E7B">
        <w:rPr>
          <w:lang w:val="de-CH"/>
        </w:rPr>
        <w:t>Andreas Beck</w:t>
      </w:r>
      <w:r w:rsidR="00516E7B">
        <w:rPr>
          <w:lang w:val="de-CH"/>
        </w:rPr>
        <w:t>.</w:t>
      </w:r>
    </w:p>
    <w:p w14:paraId="5F0189B5" w14:textId="77777777" w:rsidR="0081411C" w:rsidRPr="00CE06B9" w:rsidRDefault="0081411C" w:rsidP="00D80594">
      <w:pPr>
        <w:jc w:val="both"/>
        <w:rPr>
          <w:b/>
          <w:lang w:val="de-CH"/>
        </w:rPr>
      </w:pPr>
      <w:r w:rsidRPr="00CE06B9">
        <w:rPr>
          <w:b/>
          <w:lang w:val="de-CH"/>
        </w:rPr>
        <w:t>Die Evolutionäre Portfolio Theorie</w:t>
      </w:r>
    </w:p>
    <w:p w14:paraId="590CD8E5" w14:textId="77777777" w:rsidR="00636BA5" w:rsidRDefault="00CE06B9" w:rsidP="00D80594">
      <w:pPr>
        <w:jc w:val="both"/>
        <w:rPr>
          <w:lang w:val="de-CH"/>
        </w:rPr>
      </w:pPr>
      <w:r>
        <w:rPr>
          <w:lang w:val="de-CH"/>
        </w:rPr>
        <w:t>Die von mir und Ko-autoren</w:t>
      </w:r>
      <w:r w:rsidR="00097BE7">
        <w:rPr>
          <w:rStyle w:val="Funotenzeichen"/>
          <w:lang w:val="de-CH"/>
        </w:rPr>
        <w:footnoteReference w:id="4"/>
      </w:r>
      <w:r>
        <w:rPr>
          <w:lang w:val="de-CH"/>
        </w:rPr>
        <w:t xml:space="preserve"> entwickelte </w:t>
      </w:r>
      <w:r w:rsidRPr="00CE06B9">
        <w:rPr>
          <w:lang w:val="de-CH"/>
        </w:rPr>
        <w:t>Evolutionäre Portfolio Theorie</w:t>
      </w:r>
      <w:r w:rsidR="00097BE7">
        <w:rPr>
          <w:lang w:val="de-CH"/>
        </w:rPr>
        <w:t xml:space="preserve"> betrachtet den Wettstreit von Anlagestrategien am Aktienmarkt. Sie basiert auf den evolutionären Prinzipien Mutation und Selektion und arbeitet eine Anlagestrategie heraus, die langfristig am erfolgreichsten ist. </w:t>
      </w:r>
      <w:r w:rsidR="000501FF">
        <w:rPr>
          <w:lang w:val="de-CH"/>
        </w:rPr>
        <w:t xml:space="preserve">D.h. im Gegensatz zu dem, was in der Finanzwissenschaft üblich ist, wird der Aktienmarkt wird nicht anhand von </w:t>
      </w:r>
      <w:r w:rsidR="00516E7B">
        <w:rPr>
          <w:lang w:val="de-CH"/>
        </w:rPr>
        <w:t>Investoren,</w:t>
      </w:r>
      <w:r w:rsidR="000501FF">
        <w:rPr>
          <w:lang w:val="de-CH"/>
        </w:rPr>
        <w:t xml:space="preserve"> sondern anhand von Anlagestrategien (biologisch</w:t>
      </w:r>
      <w:r w:rsidR="00516E7B">
        <w:rPr>
          <w:lang w:val="de-CH"/>
        </w:rPr>
        <w:t>:</w:t>
      </w:r>
      <w:r w:rsidR="000501FF">
        <w:rPr>
          <w:lang w:val="de-CH"/>
        </w:rPr>
        <w:t xml:space="preserve"> Arten) beschrieben. Die Anlagestrategien kämpfen um Marktkapital (biologisch</w:t>
      </w:r>
      <w:r w:rsidR="00516E7B">
        <w:rPr>
          <w:lang w:val="de-CH"/>
        </w:rPr>
        <w:t>:</w:t>
      </w:r>
      <w:r w:rsidR="000501FF">
        <w:rPr>
          <w:lang w:val="de-CH"/>
        </w:rPr>
        <w:t xml:space="preserve"> Res</w:t>
      </w:r>
      <w:r w:rsidR="005F7ED3">
        <w:rPr>
          <w:lang w:val="de-CH"/>
        </w:rPr>
        <w:t>s</w:t>
      </w:r>
      <w:r w:rsidR="000501FF">
        <w:rPr>
          <w:lang w:val="de-CH"/>
        </w:rPr>
        <w:t>ourcen), was der biologischen Selektion der Arten entspricht. Zudem ist das Modell jederzeit offen für neue Anlagestrategien (biologisch</w:t>
      </w:r>
      <w:r w:rsidR="00516E7B">
        <w:rPr>
          <w:lang w:val="de-CH"/>
        </w:rPr>
        <w:t>:</w:t>
      </w:r>
      <w:r w:rsidR="000501FF">
        <w:rPr>
          <w:lang w:val="de-CH"/>
        </w:rPr>
        <w:t xml:space="preserve"> Mutationen). </w:t>
      </w:r>
      <w:r w:rsidR="00FB4433">
        <w:rPr>
          <w:lang w:val="de-CH"/>
        </w:rPr>
        <w:t xml:space="preserve">Die </w:t>
      </w:r>
      <w:r w:rsidR="00FB4433" w:rsidRPr="00FB4433">
        <w:rPr>
          <w:lang w:val="de-CH"/>
        </w:rPr>
        <w:t>Evolutionäre Portfolio Theorie</w:t>
      </w:r>
      <w:r w:rsidR="00FB4433">
        <w:rPr>
          <w:lang w:val="de-CH"/>
        </w:rPr>
        <w:t xml:space="preserve"> sucht nach Anlagestrategien, die langfristig betrachtet die höchste Wachstumsrate des Vermögens erzielen (biologisch</w:t>
      </w:r>
      <w:r w:rsidR="00516E7B">
        <w:rPr>
          <w:lang w:val="de-CH"/>
        </w:rPr>
        <w:t>:</w:t>
      </w:r>
      <w:r w:rsidR="00FB4433">
        <w:rPr>
          <w:lang w:val="de-CH"/>
        </w:rPr>
        <w:t xml:space="preserve"> Survival Strategien). Somit sind kurzfristige Schwankungen, die </w:t>
      </w:r>
      <w:r w:rsidR="00516E7B">
        <w:rPr>
          <w:lang w:val="de-CH"/>
        </w:rPr>
        <w:t xml:space="preserve">zum Beispiel </w:t>
      </w:r>
      <w:r w:rsidR="00FB4433">
        <w:rPr>
          <w:lang w:val="de-CH"/>
        </w:rPr>
        <w:t>in der Sharpe-Ratio</w:t>
      </w:r>
      <w:r w:rsidR="00B6395C">
        <w:rPr>
          <w:rStyle w:val="Funotenzeichen"/>
          <w:lang w:val="de-CH"/>
        </w:rPr>
        <w:footnoteReference w:id="5"/>
      </w:r>
      <w:r w:rsidR="00FB4433">
        <w:rPr>
          <w:lang w:val="de-CH"/>
        </w:rPr>
        <w:t xml:space="preserve"> Eingang finden, für die </w:t>
      </w:r>
      <w:r w:rsidR="00FB4433" w:rsidRPr="00FB4433">
        <w:rPr>
          <w:lang w:val="de-CH"/>
        </w:rPr>
        <w:t>Evolutionäre Portfolio Theorie</w:t>
      </w:r>
      <w:r w:rsidR="00FB4433">
        <w:rPr>
          <w:lang w:val="de-CH"/>
        </w:rPr>
        <w:t xml:space="preserve"> egal – ja sogar eine Chance auf höhere Renditen! </w:t>
      </w:r>
    </w:p>
    <w:p w14:paraId="5CE99CF6" w14:textId="77777777" w:rsidR="007C2EE6" w:rsidRDefault="00636BA5" w:rsidP="00D80594">
      <w:pPr>
        <w:jc w:val="both"/>
        <w:rPr>
          <w:rFonts w:eastAsiaTheme="minorEastAsia"/>
          <w:lang w:val="de-CH"/>
        </w:rPr>
      </w:pPr>
      <w:r>
        <w:rPr>
          <w:lang w:val="de-CH"/>
        </w:rPr>
        <w:t xml:space="preserve">Das wesentliche Ergebnis der </w:t>
      </w:r>
      <w:r w:rsidRPr="00636BA5">
        <w:rPr>
          <w:lang w:val="de-CH"/>
        </w:rPr>
        <w:t>Evolutionäre Portfolio Theorie</w:t>
      </w:r>
      <w:r>
        <w:rPr>
          <w:lang w:val="de-CH"/>
        </w:rPr>
        <w:t xml:space="preserve"> ist, dass eine Anlagestrategie, die das Vermögen proportional zu den erwarteten relativen Dividenden anlegt</w:t>
      </w:r>
      <w:r w:rsidR="008601A7">
        <w:rPr>
          <w:lang w:val="de-CH"/>
        </w:rPr>
        <w:t>,</w:t>
      </w:r>
      <w:r>
        <w:rPr>
          <w:lang w:val="de-CH"/>
        </w:rPr>
        <w:t xml:space="preserve"> die höchste Wachstumsrate erzielt. </w:t>
      </w:r>
      <w:r w:rsidR="00E74286">
        <w:rPr>
          <w:lang w:val="de-CH"/>
        </w:rPr>
        <w:t xml:space="preserve">In den wissenschaftlichen Aufsätzen nennen wir diese Strategie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sidR="00E74286">
        <w:rPr>
          <w:rFonts w:eastAsiaTheme="minorEastAsia"/>
          <w:lang w:val="de-CH"/>
        </w:rPr>
        <w:t xml:space="preserve">. </w:t>
      </w:r>
      <w:r w:rsidR="00A82953">
        <w:rPr>
          <w:rFonts w:eastAsiaTheme="minorEastAsia"/>
          <w:lang w:val="de-CH"/>
        </w:rPr>
        <w:t xml:space="preserve">Um diese Strategie genau zu beschreiben benötigen wir etwas Notation: </w:t>
      </w:r>
      <w:r w:rsidR="00B72EB0">
        <w:rPr>
          <w:rFonts w:eastAsiaTheme="minorEastAsia"/>
          <w:lang w:val="de-CH"/>
        </w:rPr>
        <w:t xml:space="preserve">Seien </w:t>
      </w:r>
      <m:oMath>
        <m:sSubSup>
          <m:sSubSupPr>
            <m:ctrlPr>
              <w:rPr>
                <w:rFonts w:ascii="Cambria Math" w:eastAsiaTheme="minorEastAsia" w:hAnsi="Cambria Math"/>
                <w:i/>
                <w:lang w:val="de-CH"/>
              </w:rPr>
            </m:ctrlPr>
          </m:sSubSupPr>
          <m:e>
            <m:r>
              <w:rPr>
                <w:rFonts w:ascii="Cambria Math" w:eastAsiaTheme="minorEastAsia" w:hAnsi="Cambria Math"/>
                <w:lang w:val="de-CH"/>
              </w:rPr>
              <m:t>D</m:t>
            </m:r>
          </m:e>
          <m:sub>
            <m:r>
              <w:rPr>
                <w:rFonts w:ascii="Cambria Math" w:eastAsiaTheme="minorEastAsia" w:hAnsi="Cambria Math"/>
                <w:lang w:val="de-CH"/>
              </w:rPr>
              <m:t>t</m:t>
            </m:r>
          </m:sub>
          <m:sup>
            <m:r>
              <w:rPr>
                <w:rFonts w:ascii="Cambria Math" w:eastAsiaTheme="minorEastAsia" w:hAnsi="Cambria Math"/>
                <w:lang w:val="de-CH"/>
              </w:rPr>
              <m:t>k</m:t>
            </m:r>
          </m:sup>
        </m:sSubSup>
      </m:oMath>
      <w:r w:rsidR="00B72EB0">
        <w:rPr>
          <w:rFonts w:eastAsiaTheme="minorEastAsia"/>
          <w:lang w:val="de-CH"/>
        </w:rPr>
        <w:t xml:space="preserve"> die Dividenden, die Unternehmen k = 1,…,K in Periode t = 1,2,… an die Anteilseigner pro Aktie ausschütten. Dann ist im einfachen Fall</w:t>
      </w:r>
      <w:r w:rsidR="00B72EB0">
        <w:rPr>
          <w:rStyle w:val="Funotenzeichen"/>
          <w:rFonts w:eastAsiaTheme="minorEastAsia"/>
          <w:lang w:val="de-CH"/>
        </w:rPr>
        <w:footnoteReference w:id="6"/>
      </w:r>
      <w:r w:rsidR="00B72EB0">
        <w:rPr>
          <w:rFonts w:eastAsiaTheme="minorEastAsia"/>
          <w:lang w:val="de-CH"/>
        </w:rPr>
        <w:t xml:space="preserve"> der prozentuale Anteil des Vermögens, den die Strategie </w:t>
      </w:r>
      <w:r w:rsidR="00B72EB0">
        <w:rPr>
          <w:lang w:val="de-CH"/>
        </w:rPr>
        <w:t xml:space="preserv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sidR="00B72EB0">
        <w:rPr>
          <w:rFonts w:eastAsiaTheme="minorEastAsia"/>
          <w:lang w:val="de-CH"/>
        </w:rPr>
        <w:t xml:space="preserve"> in Aktie k zum Zeitpunkt t investiert </w:t>
      </w:r>
      <w:r w:rsidR="00B72EB0">
        <w:rPr>
          <w:lang w:val="de-CH"/>
        </w:rPr>
        <w:t xml:space="preserve"> </w:t>
      </w:r>
      <m:oMath>
        <m:sSubSup>
          <m:sSubSupPr>
            <m:ctrlPr>
              <w:rPr>
                <w:rFonts w:ascii="Cambria Math" w:hAnsi="Cambria Math"/>
                <w:i/>
                <w:lang w:val="de-CH"/>
              </w:rPr>
            </m:ctrlPr>
          </m:sSubSupPr>
          <m:e>
            <m:r>
              <w:rPr>
                <w:rFonts w:ascii="Cambria Math" w:hAnsi="Cambria Math"/>
                <w:lang w:val="de-CH"/>
              </w:rPr>
              <m:t>λ</m:t>
            </m:r>
          </m:e>
          <m:sub>
            <m:r>
              <w:rPr>
                <w:rFonts w:ascii="Cambria Math" w:hAnsi="Cambria Math"/>
                <w:lang w:val="de-CH"/>
              </w:rPr>
              <m:t>t</m:t>
            </m:r>
          </m:sub>
          <m:sup>
            <m:r>
              <w:rPr>
                <w:rFonts w:ascii="Cambria Math" w:hAnsi="Cambria Math"/>
                <w:lang w:val="de-CH"/>
              </w:rPr>
              <m:t>*,k</m:t>
            </m:r>
          </m:sup>
        </m:sSubSup>
        <m:r>
          <w:rPr>
            <w:rFonts w:ascii="Cambria Math" w:hAnsi="Cambria Math"/>
            <w:lang w:val="de-CH"/>
          </w:rPr>
          <m:t>=</m:t>
        </m:r>
        <m:sSub>
          <m:sSubPr>
            <m:ctrlPr>
              <w:rPr>
                <w:rFonts w:ascii="Cambria Math" w:hAnsi="Cambria Math"/>
                <w:i/>
                <w:lang w:val="de-CH"/>
              </w:rPr>
            </m:ctrlPr>
          </m:sSubPr>
          <m:e>
            <m:r>
              <w:rPr>
                <w:rFonts w:ascii="Cambria Math" w:hAnsi="Cambria Math"/>
                <w:lang w:val="de-CH"/>
              </w:rPr>
              <m:t>E</m:t>
            </m:r>
          </m:e>
          <m:sub>
            <m:r>
              <w:rPr>
                <w:rFonts w:ascii="Cambria Math" w:hAnsi="Cambria Math"/>
                <w:lang w:val="de-CH"/>
              </w:rPr>
              <m:t>t</m:t>
            </m:r>
          </m:sub>
        </m:sSub>
        <m:r>
          <w:rPr>
            <w:rFonts w:ascii="Cambria Math" w:hAnsi="Cambria Math"/>
            <w:lang w:val="de-CH"/>
          </w:rPr>
          <m:t>(</m:t>
        </m:r>
        <m:f>
          <m:fPr>
            <m:ctrlPr>
              <w:rPr>
                <w:rFonts w:ascii="Cambria Math" w:hAnsi="Cambria Math"/>
                <w:i/>
                <w:lang w:val="de-CH"/>
              </w:rPr>
            </m:ctrlPr>
          </m:fPr>
          <m:num>
            <m:sSup>
              <m:sSupPr>
                <m:ctrlPr>
                  <w:rPr>
                    <w:rFonts w:ascii="Cambria Math" w:hAnsi="Cambria Math"/>
                    <w:i/>
                    <w:lang w:val="de-CH"/>
                  </w:rPr>
                </m:ctrlPr>
              </m:sSupPr>
              <m:e>
                <m:r>
                  <w:rPr>
                    <w:rFonts w:ascii="Cambria Math" w:hAnsi="Cambria Math"/>
                    <w:lang w:val="de-CH"/>
                  </w:rPr>
                  <m:t>D</m:t>
                </m:r>
              </m:e>
              <m:sup>
                <m:r>
                  <w:rPr>
                    <w:rFonts w:ascii="Cambria Math" w:hAnsi="Cambria Math"/>
                    <w:lang w:val="de-CH"/>
                  </w:rPr>
                  <m:t>k</m:t>
                </m:r>
              </m:sup>
            </m:sSup>
            <m:sSup>
              <m:sSupPr>
                <m:ctrlPr>
                  <w:rPr>
                    <w:rFonts w:ascii="Cambria Math" w:hAnsi="Cambria Math"/>
                    <w:i/>
                    <w:lang w:val="de-CH"/>
                  </w:rPr>
                </m:ctrlPr>
              </m:sSupPr>
              <m:e>
                <m:r>
                  <w:rPr>
                    <w:rFonts w:ascii="Cambria Math" w:hAnsi="Cambria Math"/>
                    <w:lang w:val="de-CH"/>
                  </w:rPr>
                  <m:t>S</m:t>
                </m:r>
              </m:e>
              <m:sup>
                <m:r>
                  <w:rPr>
                    <w:rFonts w:ascii="Cambria Math" w:hAnsi="Cambria Math"/>
                    <w:lang w:val="de-CH"/>
                  </w:rPr>
                  <m:t>k</m:t>
                </m:r>
              </m:sup>
            </m:sSup>
          </m:num>
          <m:den>
            <m:nary>
              <m:naryPr>
                <m:chr m:val="∑"/>
                <m:supHide m:val="1"/>
                <m:ctrlPr>
                  <w:rPr>
                    <w:rFonts w:ascii="Cambria Math" w:hAnsi="Cambria Math"/>
                    <w:i/>
                    <w:lang w:val="de-CH"/>
                  </w:rPr>
                </m:ctrlPr>
              </m:naryPr>
              <m:sub>
                <m:r>
                  <w:rPr>
                    <w:rFonts w:ascii="Cambria Math" w:hAnsi="Cambria Math"/>
                    <w:lang w:val="de-CH"/>
                  </w:rPr>
                  <m:t>k</m:t>
                </m:r>
              </m:sub>
              <m:sup/>
              <m:e>
                <m:sSup>
                  <m:sSupPr>
                    <m:ctrlPr>
                      <w:rPr>
                        <w:rFonts w:ascii="Cambria Math" w:hAnsi="Cambria Math"/>
                        <w:i/>
                        <w:lang w:val="de-CH"/>
                      </w:rPr>
                    </m:ctrlPr>
                  </m:sSupPr>
                  <m:e>
                    <m:r>
                      <w:rPr>
                        <w:rFonts w:ascii="Cambria Math" w:hAnsi="Cambria Math"/>
                        <w:lang w:val="de-CH"/>
                      </w:rPr>
                      <m:t>D</m:t>
                    </m:r>
                  </m:e>
                  <m:sup>
                    <m:r>
                      <w:rPr>
                        <w:rFonts w:ascii="Cambria Math" w:hAnsi="Cambria Math"/>
                        <w:lang w:val="de-CH"/>
                      </w:rPr>
                      <m:t>k</m:t>
                    </m:r>
                  </m:sup>
                </m:sSup>
                <m:sSup>
                  <m:sSupPr>
                    <m:ctrlPr>
                      <w:rPr>
                        <w:rFonts w:ascii="Cambria Math" w:hAnsi="Cambria Math"/>
                        <w:i/>
                        <w:lang w:val="de-CH"/>
                      </w:rPr>
                    </m:ctrlPr>
                  </m:sSupPr>
                  <m:e>
                    <m:r>
                      <w:rPr>
                        <w:rFonts w:ascii="Cambria Math" w:hAnsi="Cambria Math"/>
                        <w:lang w:val="de-CH"/>
                      </w:rPr>
                      <m:t>S</m:t>
                    </m:r>
                  </m:e>
                  <m:sup>
                    <m:r>
                      <w:rPr>
                        <w:rFonts w:ascii="Cambria Math" w:hAnsi="Cambria Math"/>
                        <w:lang w:val="de-CH"/>
                      </w:rPr>
                      <m:t>k</m:t>
                    </m:r>
                  </m:sup>
                </m:sSup>
              </m:e>
            </m:nary>
          </m:den>
        </m:f>
        <m:r>
          <w:rPr>
            <w:rFonts w:ascii="Cambria Math" w:hAnsi="Cambria Math"/>
            <w:lang w:val="de-CH"/>
          </w:rPr>
          <m:t>)</m:t>
        </m:r>
      </m:oMath>
      <w:r w:rsidR="00B632B9">
        <w:rPr>
          <w:rFonts w:eastAsiaTheme="minorEastAsia"/>
          <w:lang w:val="de-CH"/>
        </w:rPr>
        <w:t xml:space="preserve">, wobei </w:t>
      </w:r>
      <m:oMath>
        <m:sSubSup>
          <m:sSubSupPr>
            <m:ctrlPr>
              <w:rPr>
                <w:rFonts w:ascii="Cambria Math" w:eastAsiaTheme="minorEastAsia" w:hAnsi="Cambria Math"/>
                <w:i/>
                <w:lang w:val="de-CH"/>
              </w:rPr>
            </m:ctrlPr>
          </m:sSubSupPr>
          <m:e>
            <m:r>
              <w:rPr>
                <w:rFonts w:ascii="Cambria Math" w:eastAsiaTheme="minorEastAsia" w:hAnsi="Cambria Math"/>
                <w:lang w:val="de-CH"/>
              </w:rPr>
              <m:t>S</m:t>
            </m:r>
          </m:e>
          <m:sub>
            <m:r>
              <w:rPr>
                <w:rFonts w:ascii="Cambria Math" w:eastAsiaTheme="minorEastAsia" w:hAnsi="Cambria Math"/>
                <w:lang w:val="de-CH"/>
              </w:rPr>
              <m:t>t</m:t>
            </m:r>
          </m:sub>
          <m:sup>
            <m:r>
              <w:rPr>
                <w:rFonts w:ascii="Cambria Math" w:eastAsiaTheme="minorEastAsia" w:hAnsi="Cambria Math"/>
                <w:lang w:val="de-CH"/>
              </w:rPr>
              <m:t>k</m:t>
            </m:r>
          </m:sup>
        </m:sSubSup>
      </m:oMath>
      <w:r w:rsidR="00B632B9">
        <w:rPr>
          <w:rFonts w:eastAsiaTheme="minorEastAsia"/>
          <w:lang w:val="de-CH"/>
        </w:rPr>
        <w:t xml:space="preserve"> die Anzahl der vom Unternehmen k ausgegebenen Aktien zum Zeitpunkt t ist. Die </w:t>
      </w:r>
      <w:r w:rsidR="006A0AEC">
        <w:rPr>
          <w:rFonts w:eastAsiaTheme="minorEastAsia"/>
          <w:lang w:val="de-CH"/>
        </w:rPr>
        <w:t>Strategie</w:t>
      </w:r>
      <w:r w:rsidR="00E0135D">
        <w:rPr>
          <w:lang w:val="de-CH"/>
        </w:rPr>
        <w:t xml:space="preserv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sidR="00E0135D">
        <w:rPr>
          <w:rFonts w:eastAsiaTheme="minorEastAsia"/>
          <w:lang w:val="de-CH"/>
        </w:rPr>
        <w:t xml:space="preserve"> ist also breit diversifiziert, da sie in alle Aktien (die überhaupt einmal eine Dividenden zahlen) investiert. Zudem ist die Strategie </w:t>
      </w:r>
      <w:r w:rsidR="00E0135D">
        <w:rPr>
          <w:lang w:val="de-CH"/>
        </w:rPr>
        <w:t xml:space="preserv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sidR="00E0135D">
        <w:rPr>
          <w:rFonts w:eastAsiaTheme="minorEastAsia"/>
          <w:lang w:val="de-CH"/>
        </w:rPr>
        <w:t xml:space="preserve"> wertbasiert und kontrazyklisch</w:t>
      </w:r>
      <w:r w:rsidR="005D6B8C">
        <w:rPr>
          <w:rFonts w:eastAsiaTheme="minorEastAsia"/>
          <w:lang w:val="de-CH"/>
        </w:rPr>
        <w:t xml:space="preserve">. D.h. wenn in einer Krise die Aktienkurse mehr als die zu erwartenden </w:t>
      </w:r>
      <w:r w:rsidR="00047B5E">
        <w:rPr>
          <w:rFonts w:eastAsiaTheme="minorEastAsia"/>
          <w:lang w:val="de-CH"/>
        </w:rPr>
        <w:t>Dividenden</w:t>
      </w:r>
      <w:r w:rsidR="005D6B8C">
        <w:rPr>
          <w:rFonts w:eastAsiaTheme="minorEastAsia"/>
          <w:lang w:val="de-CH"/>
        </w:rPr>
        <w:t xml:space="preserve"> einbrechen, dann kauft d</w:t>
      </w:r>
      <w:r w:rsidR="00047B5E">
        <w:rPr>
          <w:rFonts w:eastAsiaTheme="minorEastAsia"/>
          <w:lang w:val="de-CH"/>
        </w:rPr>
        <w:t>ie Strategie nach, da sonst der prozentuale Anteil der Aktien im Portfolio nicht mehr de</w:t>
      </w:r>
      <w:r w:rsidR="006A0AEC">
        <w:rPr>
          <w:rFonts w:eastAsiaTheme="minorEastAsia"/>
          <w:lang w:val="de-CH"/>
        </w:rPr>
        <w:t>r</w:t>
      </w:r>
      <w:r w:rsidR="00047B5E">
        <w:rPr>
          <w:rFonts w:eastAsiaTheme="minorEastAsia"/>
          <w:lang w:val="de-CH"/>
        </w:rPr>
        <w:t xml:space="preserve"> fundamentalen Kennziffer basierend auf den zukünftigen relativen Dividenden entspricht. </w:t>
      </w:r>
      <w:r w:rsidR="006A0AEC">
        <w:rPr>
          <w:rFonts w:eastAsiaTheme="minorEastAsia"/>
          <w:lang w:val="de-CH"/>
        </w:rPr>
        <w:t xml:space="preserve">In komplizierteren Fällen gelten dieselben Grundregeln «breit diversifizieren und fundamental kontrazyklisch anlegen». </w:t>
      </w:r>
      <w:r w:rsidR="00743503">
        <w:rPr>
          <w:rFonts w:eastAsiaTheme="minorEastAsia"/>
          <w:lang w:val="de-CH"/>
        </w:rPr>
        <w:t xml:space="preserve">Nur kann man unter Umständen die Strategie </w:t>
      </w:r>
      <w:r w:rsidR="00743503">
        <w:rPr>
          <w:lang w:val="de-CH"/>
        </w:rPr>
        <w:t xml:space="preserv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sidR="00743503">
        <w:rPr>
          <w:rFonts w:eastAsiaTheme="minorEastAsia"/>
          <w:lang w:val="de-CH"/>
        </w:rPr>
        <w:t xml:space="preserve"> nicht mehr explizit ausrechnen, da sie sich als Lösung eines nicht-linearen stochastischen Gleichungssystems ergibt. </w:t>
      </w:r>
    </w:p>
    <w:p w14:paraId="0937660F" w14:textId="4EFA1144" w:rsidR="00886365" w:rsidRPr="00886365" w:rsidRDefault="00886365" w:rsidP="00D80594">
      <w:pPr>
        <w:jc w:val="both"/>
        <w:rPr>
          <w:rFonts w:eastAsiaTheme="minorEastAsia"/>
          <w:b/>
          <w:lang w:val="de-CH"/>
        </w:rPr>
      </w:pPr>
      <w:r w:rsidRPr="00886365">
        <w:rPr>
          <w:rFonts w:eastAsiaTheme="minorEastAsia"/>
          <w:b/>
          <w:lang w:val="de-CH"/>
        </w:rPr>
        <w:t>Die Übereistimmung des G</w:t>
      </w:r>
      <w:r w:rsidR="00EE0600">
        <w:rPr>
          <w:rFonts w:eastAsiaTheme="minorEastAsia"/>
          <w:b/>
          <w:lang w:val="de-CH"/>
        </w:rPr>
        <w:t>lobal Portfolio One</w:t>
      </w:r>
      <w:r w:rsidRPr="00886365">
        <w:rPr>
          <w:rFonts w:eastAsiaTheme="minorEastAsia"/>
          <w:b/>
          <w:lang w:val="de-CH"/>
        </w:rPr>
        <w:t xml:space="preserve"> mit der EPT</w:t>
      </w:r>
    </w:p>
    <w:p w14:paraId="2D52F503" w14:textId="2AF2A6EC" w:rsidR="00886365" w:rsidRDefault="00A67A06" w:rsidP="00D80594">
      <w:pPr>
        <w:jc w:val="both"/>
        <w:rPr>
          <w:rFonts w:eastAsiaTheme="minorEastAsia"/>
          <w:lang w:val="de-CH"/>
        </w:rPr>
      </w:pPr>
      <w:r>
        <w:rPr>
          <w:rFonts w:eastAsiaTheme="minorEastAsia"/>
          <w:lang w:val="de-CH"/>
        </w:rPr>
        <w:t>Der G</w:t>
      </w:r>
      <w:r w:rsidR="00EE0600">
        <w:rPr>
          <w:rFonts w:eastAsiaTheme="minorEastAsia"/>
          <w:lang w:val="de-CH"/>
        </w:rPr>
        <w:t>PO</w:t>
      </w:r>
      <w:r>
        <w:rPr>
          <w:rFonts w:eastAsiaTheme="minorEastAsia"/>
          <w:lang w:val="de-CH"/>
        </w:rPr>
        <w:t xml:space="preserve"> basiert auf denselben </w:t>
      </w:r>
      <w:r w:rsidR="00886365">
        <w:rPr>
          <w:rFonts w:eastAsiaTheme="minorEastAsia"/>
          <w:lang w:val="de-CH"/>
        </w:rPr>
        <w:t xml:space="preserve"> </w:t>
      </w:r>
      <w:r>
        <w:rPr>
          <w:rFonts w:eastAsiaTheme="minorEastAsia"/>
          <w:lang w:val="de-CH"/>
        </w:rPr>
        <w:t>drei</w:t>
      </w:r>
      <w:r w:rsidRPr="00A67A06">
        <w:rPr>
          <w:rFonts w:eastAsiaTheme="minorEastAsia"/>
          <w:lang w:val="de-CH"/>
        </w:rPr>
        <w:t xml:space="preserve"> Grundregeln </w:t>
      </w:r>
      <w:r>
        <w:rPr>
          <w:rFonts w:eastAsiaTheme="minorEastAsia"/>
          <w:lang w:val="de-CH"/>
        </w:rPr>
        <w:t>wie die</w:t>
      </w:r>
      <w:r w:rsidRPr="00A67A06">
        <w:rPr>
          <w:rFonts w:eastAsiaTheme="minorEastAsia"/>
          <w:lang w:val="de-CH"/>
        </w:rPr>
        <w:t xml:space="preserve"> </w:t>
      </w:r>
      <w:r>
        <w:rPr>
          <w:rFonts w:eastAsiaTheme="minorEastAsia"/>
          <w:lang w:val="de-CH"/>
        </w:rPr>
        <w:t>Strategie</w:t>
      </w:r>
      <w:r>
        <w:rPr>
          <w:lang w:val="de-CH"/>
        </w:rPr>
        <w:t xml:space="preserve"> </w:t>
      </w:r>
      <m:oMath>
        <m:sSup>
          <m:sSupPr>
            <m:ctrlPr>
              <w:rPr>
                <w:rFonts w:ascii="Cambria Math" w:hAnsi="Cambria Math"/>
                <w:i/>
                <w:lang w:val="de-CH"/>
              </w:rPr>
            </m:ctrlPr>
          </m:sSupPr>
          <m:e>
            <m:r>
              <w:rPr>
                <w:rFonts w:ascii="Cambria Math" w:hAnsi="Cambria Math"/>
                <w:lang w:val="de-CH"/>
              </w:rPr>
              <m:t>λ</m:t>
            </m:r>
          </m:e>
          <m:sup>
            <m:r>
              <w:rPr>
                <w:rFonts w:ascii="Cambria Math" w:hAnsi="Cambria Math"/>
                <w:lang w:val="de-CH"/>
              </w:rPr>
              <m:t>*</m:t>
            </m:r>
          </m:sup>
        </m:sSup>
      </m:oMath>
      <w:r>
        <w:rPr>
          <w:rFonts w:eastAsiaTheme="minorEastAsia"/>
          <w:lang w:val="de-CH"/>
        </w:rPr>
        <w:t xml:space="preserve">: </w:t>
      </w:r>
      <w:r w:rsidRPr="00A67A06">
        <w:rPr>
          <w:rFonts w:eastAsiaTheme="minorEastAsia"/>
          <w:lang w:val="de-CH"/>
        </w:rPr>
        <w:t>breit diversifizieren</w:t>
      </w:r>
      <w:r>
        <w:rPr>
          <w:rFonts w:eastAsiaTheme="minorEastAsia"/>
          <w:lang w:val="de-CH"/>
        </w:rPr>
        <w:t>,</w:t>
      </w:r>
      <w:r w:rsidRPr="00A67A06">
        <w:rPr>
          <w:rFonts w:eastAsiaTheme="minorEastAsia"/>
          <w:lang w:val="de-CH"/>
        </w:rPr>
        <w:t xml:space="preserve"> fundamental </w:t>
      </w:r>
      <w:r>
        <w:rPr>
          <w:rFonts w:eastAsiaTheme="minorEastAsia"/>
          <w:lang w:val="de-CH"/>
        </w:rPr>
        <w:t xml:space="preserve">und </w:t>
      </w:r>
      <w:r w:rsidRPr="00A67A06">
        <w:rPr>
          <w:rFonts w:eastAsiaTheme="minorEastAsia"/>
          <w:lang w:val="de-CH"/>
        </w:rPr>
        <w:t>kontrazyklisch anlegen</w:t>
      </w:r>
      <w:r>
        <w:rPr>
          <w:rFonts w:eastAsiaTheme="minorEastAsia"/>
          <w:lang w:val="de-CH"/>
        </w:rPr>
        <w:t xml:space="preserve">. In der Tat ist die </w:t>
      </w:r>
      <w:r w:rsidRPr="00A67A06">
        <w:rPr>
          <w:rFonts w:eastAsiaTheme="minorEastAsia"/>
          <w:lang w:val="de-CH"/>
        </w:rPr>
        <w:t>Übereistimmung</w:t>
      </w:r>
      <w:r>
        <w:rPr>
          <w:rFonts w:eastAsiaTheme="minorEastAsia"/>
          <w:lang w:val="de-CH"/>
        </w:rPr>
        <w:t xml:space="preserve"> sogar noch viel tiefer, wie die folgenden Ausführungen zeigen. Hierzu benötigen wir noch etwas Notation.</w:t>
      </w:r>
      <w:r w:rsidR="00B632B9">
        <w:rPr>
          <w:rFonts w:eastAsiaTheme="minorEastAsia"/>
          <w:lang w:val="de-CH"/>
        </w:rPr>
        <w:t xml:space="preserve"> Sei</w:t>
      </w:r>
      <w:r w:rsidR="009335A6">
        <w:rPr>
          <w:rFonts w:eastAsiaTheme="minorEastAsia"/>
          <w:lang w:val="de-CH"/>
        </w:rPr>
        <w:t xml:space="preserve">  </w:t>
      </w:r>
      <m:oMath>
        <m:sSubSup>
          <m:sSubSupPr>
            <m:ctrlPr>
              <w:rPr>
                <w:rFonts w:ascii="Cambria Math" w:eastAsiaTheme="minorEastAsia" w:hAnsi="Cambria Math"/>
                <w:i/>
                <w:lang w:val="de-CH"/>
              </w:rPr>
            </m:ctrlPr>
          </m:sSubSupPr>
          <m:e>
            <m:r>
              <w:rPr>
                <w:rFonts w:ascii="Cambria Math" w:eastAsiaTheme="minorEastAsia" w:hAnsi="Cambria Math"/>
                <w:lang w:val="de-CH"/>
              </w:rPr>
              <m:t>p</m:t>
            </m:r>
          </m:e>
          <m:sub>
            <m:r>
              <w:rPr>
                <w:rFonts w:ascii="Cambria Math" w:eastAsiaTheme="minorEastAsia" w:hAnsi="Cambria Math"/>
                <w:lang w:val="de-CH"/>
              </w:rPr>
              <m:t>t</m:t>
            </m:r>
          </m:sub>
          <m:sup>
            <m:r>
              <w:rPr>
                <w:rFonts w:ascii="Cambria Math" w:eastAsiaTheme="minorEastAsia" w:hAnsi="Cambria Math"/>
                <w:lang w:val="de-CH"/>
              </w:rPr>
              <m:t>k</m:t>
            </m:r>
          </m:sup>
        </m:sSubSup>
      </m:oMath>
      <w:r w:rsidR="009335A6">
        <w:rPr>
          <w:rFonts w:eastAsiaTheme="minorEastAsia"/>
          <w:lang w:val="de-CH"/>
        </w:rPr>
        <w:t xml:space="preserve"> der Preis pro </w:t>
      </w:r>
      <w:r w:rsidR="009335A6">
        <w:rPr>
          <w:rFonts w:eastAsiaTheme="minorEastAsia"/>
          <w:lang w:val="de-CH"/>
        </w:rPr>
        <w:lastRenderedPageBreak/>
        <w:t xml:space="preserve">Aktie. Dann ist  </w:t>
      </w:r>
      <m:oMath>
        <m:sSubSup>
          <m:sSubSupPr>
            <m:ctrlPr>
              <w:rPr>
                <w:rFonts w:ascii="Cambria Math" w:eastAsiaTheme="minorEastAsia" w:hAnsi="Cambria Math"/>
                <w:i/>
                <w:lang w:val="de-CH"/>
              </w:rPr>
            </m:ctrlPr>
          </m:sSubSupPr>
          <m:e>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=p</m:t>
            </m:r>
          </m:e>
          <m:sub>
            <m:r>
              <w:rPr>
                <w:rFonts w:ascii="Cambria Math" w:eastAsiaTheme="minorEastAsia" w:hAnsi="Cambria Math"/>
                <w:lang w:val="de-CH"/>
              </w:rPr>
              <m:t>t</m:t>
            </m:r>
          </m:sub>
          <m:sup>
            <m:r>
              <w:rPr>
                <w:rFonts w:ascii="Cambria Math" w:eastAsiaTheme="minorEastAsia" w:hAnsi="Cambria Math"/>
                <w:lang w:val="de-CH"/>
              </w:rPr>
              <m:t>k</m:t>
            </m:r>
          </m:sup>
        </m:sSubSup>
        <m:sSubSup>
          <m:sSubSupPr>
            <m:ctrlPr>
              <w:rPr>
                <w:rFonts w:ascii="Cambria Math" w:eastAsiaTheme="minorEastAsia" w:hAnsi="Cambria Math"/>
                <w:i/>
                <w:lang w:val="de-CH"/>
              </w:rPr>
            </m:ctrlPr>
          </m:sSubSupPr>
          <m:e>
            <m:r>
              <w:rPr>
                <w:rFonts w:ascii="Cambria Math" w:eastAsiaTheme="minorEastAsia" w:hAnsi="Cambria Math"/>
                <w:lang w:val="de-CH"/>
              </w:rPr>
              <m:t>S</m:t>
            </m:r>
          </m:e>
          <m:sub>
            <m:r>
              <w:rPr>
                <w:rFonts w:ascii="Cambria Math" w:eastAsiaTheme="minorEastAsia" w:hAnsi="Cambria Math"/>
                <w:lang w:val="de-CH"/>
              </w:rPr>
              <m:t>t</m:t>
            </m:r>
          </m:sub>
          <m:sup>
            <m:r>
              <w:rPr>
                <w:rFonts w:ascii="Cambria Math" w:eastAsiaTheme="minorEastAsia" w:hAnsi="Cambria Math"/>
                <w:lang w:val="de-CH"/>
              </w:rPr>
              <m:t>k</m:t>
            </m:r>
          </m:sup>
        </m:sSubSup>
      </m:oMath>
      <w:r w:rsidR="009335A6">
        <w:rPr>
          <w:rFonts w:eastAsiaTheme="minorEastAsia"/>
          <w:lang w:val="de-CH"/>
        </w:rPr>
        <w:t xml:space="preserve"> die Marktkapitalisierung des Unternehmens k zum Zeitpunkt t. </w:t>
      </w:r>
      <w:r w:rsidR="008D7D43">
        <w:rPr>
          <w:rFonts w:eastAsiaTheme="minorEastAsia"/>
          <w:lang w:val="de-CH"/>
        </w:rPr>
        <w:t>Gemäss der üblichen ökonomischen Theorie werden die Gewinne der Unternehmen durch Einsatz von Kapital</w:t>
      </w:r>
      <w:r w:rsidR="00D50E2B">
        <w:rPr>
          <w:rStyle w:val="Funotenzeichen"/>
          <w:rFonts w:eastAsiaTheme="minorEastAsia"/>
          <w:lang w:val="de-CH"/>
        </w:rPr>
        <w:footnoteReference w:id="7"/>
      </w:r>
      <w:r w:rsidR="008D7D43">
        <w:rPr>
          <w:rFonts w:eastAsiaTheme="minorEastAsia"/>
          <w:lang w:val="de-CH"/>
        </w:rPr>
        <w:t xml:space="preserve"> anhand von Produktionsfunktionen produziert. Da Dividenden üblicherweise eine Funktion</w:t>
      </w:r>
      <w:r w:rsidR="001A3955">
        <w:rPr>
          <w:rStyle w:val="Funotenzeichen"/>
          <w:rFonts w:eastAsiaTheme="minorEastAsia"/>
          <w:lang w:val="de-CH"/>
        </w:rPr>
        <w:footnoteReference w:id="8"/>
      </w:r>
      <w:r w:rsidR="008D7D43">
        <w:rPr>
          <w:rFonts w:eastAsiaTheme="minorEastAsia"/>
          <w:lang w:val="de-CH"/>
        </w:rPr>
        <w:t xml:space="preserve"> der Gewi</w:t>
      </w:r>
      <w:r w:rsidR="009171B7">
        <w:rPr>
          <w:rFonts w:eastAsiaTheme="minorEastAsia"/>
          <w:lang w:val="de-CH"/>
        </w:rPr>
        <w:t>nne sind, ergibt sich also eine Funktion f, die das Gesamtvolumen der Dividenden einer Unternehmung durch die Marktkapitalisierung beschreibt</w:t>
      </w:r>
      <w:r w:rsidR="009171B7">
        <w:rPr>
          <w:rStyle w:val="Funotenzeichen"/>
          <w:rFonts w:eastAsiaTheme="minorEastAsia"/>
          <w:lang w:val="de-CH"/>
        </w:rPr>
        <w:footnoteReference w:id="9"/>
      </w:r>
      <w:r w:rsidR="009171B7">
        <w:rPr>
          <w:rFonts w:eastAsiaTheme="minorEastAsia"/>
          <w:lang w:val="de-CH"/>
        </w:rPr>
        <w:t xml:space="preserve">: </w:t>
      </w:r>
      <m:oMath>
        <m:r>
          <w:rPr>
            <w:rFonts w:ascii="Cambria Math" w:eastAsiaTheme="minorEastAsia" w:hAnsi="Cambria Math"/>
            <w:lang w:val="de-CH"/>
          </w:rPr>
          <m:t xml:space="preserve"> </m:t>
        </m:r>
        <m:sSubSup>
          <m:sSubSupPr>
            <m:ctrlPr>
              <w:rPr>
                <w:rFonts w:ascii="Cambria Math" w:eastAsiaTheme="minorEastAsia" w:hAnsi="Cambria Math"/>
                <w:i/>
                <w:lang w:val="de-CH"/>
              </w:rPr>
            </m:ctrlPr>
          </m:sSubSupPr>
          <m:e>
            <m:r>
              <w:rPr>
                <w:rFonts w:ascii="Cambria Math" w:eastAsiaTheme="minorEastAsia" w:hAnsi="Cambria Math"/>
                <w:lang w:val="de-CH"/>
              </w:rPr>
              <m:t>D</m:t>
            </m:r>
          </m:e>
          <m:sub>
            <m:r>
              <w:rPr>
                <w:rFonts w:ascii="Cambria Math" w:eastAsiaTheme="minorEastAsia" w:hAnsi="Cambria Math"/>
                <w:lang w:val="de-CH"/>
              </w:rPr>
              <m:t>t</m:t>
            </m:r>
          </m:sub>
          <m:sup>
            <m:r>
              <w:rPr>
                <w:rFonts w:ascii="Cambria Math" w:eastAsiaTheme="minorEastAsia" w:hAnsi="Cambria Math"/>
                <w:lang w:val="de-CH"/>
              </w:rPr>
              <m:t>k</m:t>
            </m:r>
          </m:sup>
        </m:sSubSup>
        <m:sSubSup>
          <m:sSubSupPr>
            <m:ctrlPr>
              <w:rPr>
                <w:rFonts w:ascii="Cambria Math" w:eastAsiaTheme="minorEastAsia" w:hAnsi="Cambria Math"/>
                <w:i/>
                <w:lang w:val="de-CH"/>
              </w:rPr>
            </m:ctrlPr>
          </m:sSubSupPr>
          <m:e>
            <m:r>
              <w:rPr>
                <w:rFonts w:ascii="Cambria Math" w:eastAsiaTheme="minorEastAsia" w:hAnsi="Cambria Math"/>
                <w:lang w:val="de-CH"/>
              </w:rPr>
              <m:t>S</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f</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oMath>
      <w:r w:rsidR="008D7D43">
        <w:rPr>
          <w:rFonts w:eastAsiaTheme="minorEastAsia"/>
          <w:lang w:val="de-CH"/>
        </w:rPr>
        <w:t>.</w:t>
      </w:r>
      <w:r w:rsidR="00C40447">
        <w:rPr>
          <w:rFonts w:eastAsiaTheme="minorEastAsia"/>
          <w:lang w:val="de-CH"/>
        </w:rPr>
        <w:t xml:space="preserve"> Die Eigenkapitalrendite kann mit  dieser Notation dann wie folgt definiert werden: </w:t>
      </w:r>
      <w:r w:rsidR="009171B7">
        <w:rPr>
          <w:rFonts w:eastAsiaTheme="minorEastAsia"/>
          <w:lang w:val="de-CH"/>
        </w:rPr>
        <w:t xml:space="preserve"> </w:t>
      </w:r>
      <m:oMath>
        <m:r>
          <w:rPr>
            <w:rFonts w:ascii="Cambria Math" w:eastAsiaTheme="minorEastAsia" w:hAnsi="Cambria Math"/>
            <w:lang w:val="de-CH"/>
          </w:rPr>
          <m:t xml:space="preserve"> </m:t>
        </m:r>
        <m:sSubSup>
          <m:sSubSupPr>
            <m:ctrlPr>
              <w:rPr>
                <w:rFonts w:ascii="Cambria Math" w:eastAsiaTheme="minorEastAsia" w:hAnsi="Cambria Math"/>
                <w:i/>
                <w:lang w:val="de-CH"/>
              </w:rPr>
            </m:ctrlPr>
          </m:sSubSupPr>
          <m:e>
            <m:r>
              <w:rPr>
                <w:rFonts w:ascii="Cambria Math" w:eastAsiaTheme="minorEastAsia" w:hAnsi="Cambria Math"/>
                <w:lang w:val="de-CH"/>
              </w:rPr>
              <m:t>EKR</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f>
          <m:fPr>
            <m:ctrlPr>
              <w:rPr>
                <w:rFonts w:ascii="Cambria Math" w:eastAsiaTheme="minorEastAsia" w:hAnsi="Cambria Math"/>
                <w:i/>
                <w:lang w:val="de-CH"/>
              </w:rPr>
            </m:ctrlPr>
          </m:fPr>
          <m:num>
            <m:sSubSup>
              <m:sSubSupPr>
                <m:ctrlPr>
                  <w:rPr>
                    <w:rFonts w:ascii="Cambria Math" w:eastAsiaTheme="minorEastAsia" w:hAnsi="Cambria Math"/>
                    <w:i/>
                    <w:lang w:val="de-CH"/>
                  </w:rPr>
                </m:ctrlPr>
              </m:sSubSupPr>
              <m:e>
                <m:r>
                  <w:rPr>
                    <w:rFonts w:ascii="Cambria Math" w:eastAsiaTheme="minorEastAsia" w:hAnsi="Cambria Math"/>
                    <w:lang w:val="de-CH"/>
                  </w:rPr>
                  <m:t>f</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num>
          <m:den>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den>
        </m:f>
      </m:oMath>
      <w:r w:rsidR="009171B7">
        <w:rPr>
          <w:rFonts w:eastAsiaTheme="minorEastAsia"/>
          <w:lang w:val="de-CH"/>
        </w:rPr>
        <w:t>.</w:t>
      </w:r>
      <w:r w:rsidR="00C2798E">
        <w:rPr>
          <w:rFonts w:eastAsiaTheme="minorEastAsia"/>
          <w:lang w:val="de-CH"/>
        </w:rPr>
        <w:t xml:space="preserve"> Blicken wir nun zurück auf die Evolutionäre Strategie, so kann man mit ein paar elementaren Umformungen zeigen, dass sie</w:t>
      </w:r>
      <w:r w:rsidR="00C2798E" w:rsidRPr="00C2798E">
        <w:rPr>
          <w:lang w:val="de-CH"/>
        </w:rPr>
        <w:t xml:space="preserve"> </w:t>
      </w:r>
      <w:r w:rsidR="00C2798E" w:rsidRPr="00C2798E">
        <w:rPr>
          <w:rFonts w:eastAsiaTheme="minorEastAsia"/>
          <w:lang w:val="de-CH"/>
        </w:rPr>
        <w:t>ziemlich genau</w:t>
      </w:r>
      <w:r w:rsidR="00B632B9">
        <w:rPr>
          <w:rFonts w:eastAsiaTheme="minorEastAsia"/>
          <w:lang w:val="de-CH"/>
        </w:rPr>
        <w:t xml:space="preserve"> das empfiehlt</w:t>
      </w:r>
      <w:r w:rsidR="00C2798E">
        <w:rPr>
          <w:rFonts w:eastAsiaTheme="minorEastAsia"/>
          <w:lang w:val="de-CH"/>
        </w:rPr>
        <w:t>, was der GOP in der Praxis implementiert hat:</w:t>
      </w:r>
      <m:oMath>
        <m:r>
          <m:rPr>
            <m:sty m:val="p"/>
          </m:rPr>
          <w:rPr>
            <w:rFonts w:ascii="Cambria Math" w:eastAsiaTheme="minorEastAsia" w:hAnsi="Cambria Math"/>
            <w:lang w:val="de-CH"/>
          </w:rPr>
          <m:t xml:space="preserve"> </m:t>
        </m:r>
        <m:r>
          <m:rPr>
            <m:sty m:val="p"/>
          </m:rPr>
          <w:rPr>
            <w:rFonts w:ascii="Cambria Math" w:hAnsi="Cambria Math"/>
            <w:lang w:val="de-CH"/>
          </w:rPr>
          <m:t xml:space="preserve"> </m:t>
        </m:r>
        <m:sSubSup>
          <m:sSubSupPr>
            <m:ctrlPr>
              <w:rPr>
                <w:rFonts w:ascii="Cambria Math" w:hAnsi="Cambria Math"/>
                <w:i/>
                <w:lang w:val="de-CH"/>
              </w:rPr>
            </m:ctrlPr>
          </m:sSubSupPr>
          <m:e>
            <m:r>
              <w:rPr>
                <w:rFonts w:ascii="Cambria Math" w:hAnsi="Cambria Math"/>
                <w:lang w:val="de-CH"/>
              </w:rPr>
              <m:t>λ</m:t>
            </m:r>
          </m:e>
          <m:sub>
            <m:r>
              <w:rPr>
                <w:rFonts w:ascii="Cambria Math" w:hAnsi="Cambria Math"/>
                <w:lang w:val="de-CH"/>
              </w:rPr>
              <m:t>t</m:t>
            </m:r>
          </m:sub>
          <m:sup>
            <m:r>
              <w:rPr>
                <w:rFonts w:ascii="Cambria Math" w:hAnsi="Cambria Math"/>
                <w:lang w:val="de-CH"/>
              </w:rPr>
              <m:t>*,k</m:t>
            </m:r>
          </m:sup>
        </m:sSubSup>
        <m:r>
          <w:rPr>
            <w:rFonts w:ascii="Cambria Math" w:hAnsi="Cambria Math"/>
            <w:lang w:val="de-CH"/>
          </w:rPr>
          <m:t>=</m:t>
        </m:r>
        <m:sSub>
          <m:sSubPr>
            <m:ctrlPr>
              <w:rPr>
                <w:rFonts w:ascii="Cambria Math" w:hAnsi="Cambria Math"/>
                <w:i/>
                <w:lang w:val="de-CH"/>
              </w:rPr>
            </m:ctrlPr>
          </m:sSubPr>
          <m:e>
            <m:r>
              <w:rPr>
                <w:rFonts w:ascii="Cambria Math" w:hAnsi="Cambria Math"/>
                <w:lang w:val="de-CH"/>
              </w:rPr>
              <m:t>E</m:t>
            </m:r>
          </m:e>
          <m:sub>
            <m:r>
              <w:rPr>
                <w:rFonts w:ascii="Cambria Math" w:hAnsi="Cambria Math"/>
                <w:lang w:val="de-CH"/>
              </w:rPr>
              <m:t>t</m:t>
            </m:r>
          </m:sub>
        </m:sSub>
        <m:d>
          <m:dPr>
            <m:ctrlPr>
              <w:rPr>
                <w:rFonts w:ascii="Cambria Math" w:hAnsi="Cambria Math"/>
                <w:i/>
                <w:lang w:val="de-CH"/>
              </w:rPr>
            </m:ctrlPr>
          </m:dPr>
          <m:e>
            <m:f>
              <m:fPr>
                <m:ctrlPr>
                  <w:rPr>
                    <w:rFonts w:ascii="Cambria Math" w:hAnsi="Cambria Math"/>
                    <w:i/>
                    <w:lang w:val="de-CH"/>
                  </w:rPr>
                </m:ctrlPr>
              </m:fPr>
              <m:num>
                <m:sSup>
                  <m:sSupPr>
                    <m:ctrlPr>
                      <w:rPr>
                        <w:rFonts w:ascii="Cambria Math" w:hAnsi="Cambria Math"/>
                        <w:i/>
                        <w:lang w:val="de-CH"/>
                      </w:rPr>
                    </m:ctrlPr>
                  </m:sSupPr>
                  <m:e>
                    <m:r>
                      <w:rPr>
                        <w:rFonts w:ascii="Cambria Math" w:hAnsi="Cambria Math"/>
                        <w:lang w:val="de-CH"/>
                      </w:rPr>
                      <m:t>D</m:t>
                    </m:r>
                  </m:e>
                  <m:sup>
                    <m:r>
                      <w:rPr>
                        <w:rFonts w:ascii="Cambria Math" w:hAnsi="Cambria Math"/>
                        <w:lang w:val="de-CH"/>
                      </w:rPr>
                      <m:t>k</m:t>
                    </m:r>
                  </m:sup>
                </m:sSup>
                <m:sSup>
                  <m:sSupPr>
                    <m:ctrlPr>
                      <w:rPr>
                        <w:rFonts w:ascii="Cambria Math" w:hAnsi="Cambria Math"/>
                        <w:i/>
                        <w:lang w:val="de-CH"/>
                      </w:rPr>
                    </m:ctrlPr>
                  </m:sSupPr>
                  <m:e>
                    <m:r>
                      <w:rPr>
                        <w:rFonts w:ascii="Cambria Math" w:hAnsi="Cambria Math"/>
                        <w:lang w:val="de-CH"/>
                      </w:rPr>
                      <m:t>S</m:t>
                    </m:r>
                  </m:e>
                  <m:sup>
                    <m:r>
                      <w:rPr>
                        <w:rFonts w:ascii="Cambria Math" w:hAnsi="Cambria Math"/>
                        <w:lang w:val="de-CH"/>
                      </w:rPr>
                      <m:t>k</m:t>
                    </m:r>
                  </m:sup>
                </m:sSup>
              </m:num>
              <m:den>
                <m:nary>
                  <m:naryPr>
                    <m:chr m:val="∑"/>
                    <m:supHide m:val="1"/>
                    <m:ctrlPr>
                      <w:rPr>
                        <w:rFonts w:ascii="Cambria Math" w:hAnsi="Cambria Math"/>
                        <w:i/>
                        <w:lang w:val="de-CH"/>
                      </w:rPr>
                    </m:ctrlPr>
                  </m:naryPr>
                  <m:sub>
                    <m:r>
                      <w:rPr>
                        <w:rFonts w:ascii="Cambria Math" w:hAnsi="Cambria Math"/>
                        <w:lang w:val="de-CH"/>
                      </w:rPr>
                      <m:t>k</m:t>
                    </m:r>
                  </m:sub>
                  <m:sup/>
                  <m:e>
                    <m:sSup>
                      <m:sSupPr>
                        <m:ctrlPr>
                          <w:rPr>
                            <w:rFonts w:ascii="Cambria Math" w:hAnsi="Cambria Math"/>
                            <w:i/>
                            <w:lang w:val="de-CH"/>
                          </w:rPr>
                        </m:ctrlPr>
                      </m:sSupPr>
                      <m:e>
                        <m:r>
                          <w:rPr>
                            <w:rFonts w:ascii="Cambria Math" w:hAnsi="Cambria Math"/>
                            <w:lang w:val="de-CH"/>
                          </w:rPr>
                          <m:t>D</m:t>
                        </m:r>
                      </m:e>
                      <m:sup>
                        <m:r>
                          <w:rPr>
                            <w:rFonts w:ascii="Cambria Math" w:hAnsi="Cambria Math"/>
                            <w:lang w:val="de-CH"/>
                          </w:rPr>
                          <m:t>k</m:t>
                        </m:r>
                      </m:sup>
                    </m:sSup>
                    <m:sSup>
                      <m:sSupPr>
                        <m:ctrlPr>
                          <w:rPr>
                            <w:rFonts w:ascii="Cambria Math" w:hAnsi="Cambria Math"/>
                            <w:i/>
                            <w:lang w:val="de-CH"/>
                          </w:rPr>
                        </m:ctrlPr>
                      </m:sSupPr>
                      <m:e>
                        <m:r>
                          <w:rPr>
                            <w:rFonts w:ascii="Cambria Math" w:hAnsi="Cambria Math"/>
                            <w:lang w:val="de-CH"/>
                          </w:rPr>
                          <m:t>S</m:t>
                        </m:r>
                      </m:e>
                      <m:sup>
                        <m:r>
                          <w:rPr>
                            <w:rFonts w:ascii="Cambria Math" w:hAnsi="Cambria Math"/>
                            <w:lang w:val="de-CH"/>
                          </w:rPr>
                          <m:t>k</m:t>
                        </m:r>
                      </m:sup>
                    </m:sSup>
                  </m:e>
                </m:nary>
              </m:den>
            </m:f>
          </m:e>
        </m:d>
        <m:r>
          <w:rPr>
            <w:rFonts w:ascii="Cambria Math" w:hAnsi="Cambria Math"/>
            <w:lang w:val="de-CH"/>
          </w:rPr>
          <m:t>.</m:t>
        </m:r>
        <m:r>
          <m:rPr>
            <m:sty m:val="p"/>
          </m:rPr>
          <w:rPr>
            <w:rFonts w:ascii="Cambria Math" w:eastAsiaTheme="minorEastAsia" w:hAnsi="Cambria Math"/>
            <w:lang w:val="de-CH"/>
          </w:rPr>
          <m:t xml:space="preserve"> </m:t>
        </m:r>
      </m:oMath>
      <w:r w:rsidR="00B632B9">
        <w:rPr>
          <w:rFonts w:eastAsiaTheme="minorEastAsia"/>
          <w:lang w:val="de-CH"/>
        </w:rPr>
        <w:t xml:space="preserve"> Mit Berücksichtigung der Produktionsfunktion</w:t>
      </w:r>
      <w:r w:rsidR="00A7186C">
        <w:rPr>
          <w:rFonts w:eastAsiaTheme="minorEastAsia"/>
          <w:lang w:val="de-CH"/>
        </w:rPr>
        <w:t>en</w:t>
      </w:r>
      <w:r w:rsidR="00B632B9">
        <w:rPr>
          <w:rFonts w:eastAsiaTheme="minorEastAsia"/>
          <w:lang w:val="de-CH"/>
        </w:rPr>
        <w:t xml:space="preserve"> ergibt sich, dass </w:t>
      </w:r>
      <w:r w:rsidR="00A7186C">
        <w:rPr>
          <w:rFonts w:eastAsiaTheme="minorEastAsia"/>
          <w:lang w:val="de-CH"/>
        </w:rPr>
        <w:t>:</w:t>
      </w:r>
      <m:oMath>
        <m:r>
          <m:rPr>
            <m:sty m:val="p"/>
          </m:rPr>
          <w:rPr>
            <w:rFonts w:ascii="Cambria Math" w:eastAsiaTheme="minorEastAsia" w:hAnsi="Cambria Math"/>
            <w:lang w:val="de-CH"/>
          </w:rPr>
          <m:t xml:space="preserve"> </m:t>
        </m:r>
        <m:r>
          <m:rPr>
            <m:sty m:val="p"/>
          </m:rPr>
          <w:rPr>
            <w:rFonts w:ascii="Cambria Math" w:hAnsi="Cambria Math"/>
            <w:lang w:val="de-CH"/>
          </w:rPr>
          <m:t xml:space="preserve"> </m:t>
        </m:r>
        <m:sSubSup>
          <m:sSubSupPr>
            <m:ctrlPr>
              <w:rPr>
                <w:rFonts w:ascii="Cambria Math" w:hAnsi="Cambria Math"/>
                <w:i/>
                <w:lang w:val="de-CH"/>
              </w:rPr>
            </m:ctrlPr>
          </m:sSubSupPr>
          <m:e>
            <m:r>
              <w:rPr>
                <w:rFonts w:ascii="Cambria Math" w:hAnsi="Cambria Math"/>
                <w:lang w:val="de-CH"/>
              </w:rPr>
              <m:t>λ</m:t>
            </m:r>
          </m:e>
          <m:sub>
            <m:r>
              <w:rPr>
                <w:rFonts w:ascii="Cambria Math" w:hAnsi="Cambria Math"/>
                <w:lang w:val="de-CH"/>
              </w:rPr>
              <m:t>t</m:t>
            </m:r>
          </m:sub>
          <m:sup>
            <m:r>
              <w:rPr>
                <w:rFonts w:ascii="Cambria Math" w:hAnsi="Cambria Math"/>
                <w:lang w:val="de-CH"/>
              </w:rPr>
              <m:t>*,k</m:t>
            </m:r>
          </m:sup>
        </m:sSubSup>
        <m:r>
          <w:rPr>
            <w:rFonts w:ascii="Cambria Math" w:hAnsi="Cambria Math"/>
            <w:lang w:val="de-CH"/>
          </w:rPr>
          <m:t>=</m:t>
        </m:r>
        <m:sSub>
          <m:sSubPr>
            <m:ctrlPr>
              <w:rPr>
                <w:rFonts w:ascii="Cambria Math" w:hAnsi="Cambria Math"/>
                <w:i/>
                <w:lang w:val="de-CH"/>
              </w:rPr>
            </m:ctrlPr>
          </m:sSubPr>
          <m:e>
            <m:r>
              <w:rPr>
                <w:rFonts w:ascii="Cambria Math" w:hAnsi="Cambria Math"/>
                <w:lang w:val="de-CH"/>
              </w:rPr>
              <m:t>E</m:t>
            </m:r>
          </m:e>
          <m:sub>
            <m:r>
              <w:rPr>
                <w:rFonts w:ascii="Cambria Math" w:hAnsi="Cambria Math"/>
                <w:lang w:val="de-CH"/>
              </w:rPr>
              <m:t>t</m:t>
            </m:r>
          </m:sub>
        </m:sSub>
        <m:d>
          <m:dPr>
            <m:ctrlPr>
              <w:rPr>
                <w:rFonts w:ascii="Cambria Math" w:hAnsi="Cambria Math"/>
                <w:i/>
                <w:lang w:val="de-CH"/>
              </w:rPr>
            </m:ctrlPr>
          </m:dPr>
          <m:e>
            <m:f>
              <m:fPr>
                <m:ctrlPr>
                  <w:rPr>
                    <w:rFonts w:ascii="Cambria Math" w:hAnsi="Cambria Math"/>
                    <w:i/>
                    <w:lang w:val="de-CH"/>
                  </w:rPr>
                </m:ctrlPr>
              </m:fPr>
              <m:num>
                <m:sSup>
                  <m:sSupPr>
                    <m:ctrlPr>
                      <w:rPr>
                        <w:rFonts w:ascii="Cambria Math" w:hAnsi="Cambria Math"/>
                        <w:i/>
                        <w:lang w:val="de-CH"/>
                      </w:rPr>
                    </m:ctrlPr>
                  </m:sSupPr>
                  <m:e>
                    <m:sSubSup>
                      <m:sSubSupPr>
                        <m:ctrlPr>
                          <w:rPr>
                            <w:rFonts w:ascii="Cambria Math" w:eastAsiaTheme="minorEastAsia" w:hAnsi="Cambria Math"/>
                            <w:i/>
                            <w:lang w:val="de-CH"/>
                          </w:rPr>
                        </m:ctrlPr>
                      </m:sSubSupPr>
                      <m:e>
                        <m:r>
                          <w:rPr>
                            <w:rFonts w:ascii="Cambria Math" w:eastAsiaTheme="minorEastAsia" w:hAnsi="Cambria Math"/>
                            <w:lang w:val="de-CH"/>
                          </w:rPr>
                          <m:t>f</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e>
                  <m:sup/>
                </m:sSup>
              </m:num>
              <m:den>
                <m:nary>
                  <m:naryPr>
                    <m:chr m:val="∑"/>
                    <m:supHide m:val="1"/>
                    <m:ctrlPr>
                      <w:rPr>
                        <w:rFonts w:ascii="Cambria Math" w:hAnsi="Cambria Math"/>
                        <w:i/>
                        <w:lang w:val="de-CH"/>
                      </w:rPr>
                    </m:ctrlPr>
                  </m:naryPr>
                  <m:sub>
                    <m:r>
                      <w:rPr>
                        <w:rFonts w:ascii="Cambria Math" w:hAnsi="Cambria Math"/>
                        <w:lang w:val="de-CH"/>
                      </w:rPr>
                      <m:t>k</m:t>
                    </m:r>
                  </m:sub>
                  <m:sup/>
                  <m:e>
                    <m:sSup>
                      <m:sSupPr>
                        <m:ctrlPr>
                          <w:rPr>
                            <w:rFonts w:ascii="Cambria Math" w:hAnsi="Cambria Math"/>
                            <w:i/>
                            <w:lang w:val="de-CH"/>
                          </w:rPr>
                        </m:ctrlPr>
                      </m:sSupPr>
                      <m:e>
                        <m:sSubSup>
                          <m:sSubSupPr>
                            <m:ctrlPr>
                              <w:rPr>
                                <w:rFonts w:ascii="Cambria Math" w:eastAsiaTheme="minorEastAsia" w:hAnsi="Cambria Math"/>
                                <w:i/>
                                <w:lang w:val="de-CH"/>
                              </w:rPr>
                            </m:ctrlPr>
                          </m:sSubSupPr>
                          <m:e>
                            <m:r>
                              <w:rPr>
                                <w:rFonts w:ascii="Cambria Math" w:eastAsiaTheme="minorEastAsia" w:hAnsi="Cambria Math"/>
                                <w:lang w:val="de-CH"/>
                              </w:rPr>
                              <m:t>f</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e>
                      <m:sup/>
                    </m:sSup>
                  </m:e>
                </m:nary>
              </m:den>
            </m:f>
          </m:e>
        </m:d>
      </m:oMath>
      <w:r w:rsidR="00A7186C">
        <w:rPr>
          <w:rFonts w:eastAsiaTheme="minorEastAsia"/>
          <w:lang w:val="de-CH"/>
        </w:rPr>
        <w:t xml:space="preserve">. Schliesslich muss man bedenken, dass der GOP in Aktien nicht nur gemäss der Eigenkapitalrenditen investiert, sondern das Kapital in die zugrundeliegenden ETFs gemäss der Marktgrösse </w:t>
      </w:r>
      <m:oMath>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oMath>
      <w:r w:rsidR="00A7186C">
        <w:rPr>
          <w:rFonts w:eastAsiaTheme="minorEastAsia"/>
          <w:lang w:val="de-CH"/>
        </w:rPr>
        <w:t xml:space="preserve"> aufteilt</w:t>
      </w:r>
      <w:r w:rsidR="00B450BF">
        <w:rPr>
          <w:rStyle w:val="Funotenzeichen"/>
          <w:rFonts w:eastAsiaTheme="minorEastAsia"/>
          <w:lang w:val="de-CH"/>
        </w:rPr>
        <w:footnoteReference w:id="10"/>
      </w:r>
      <w:r w:rsidR="00A7186C">
        <w:rPr>
          <w:rFonts w:eastAsiaTheme="minorEastAsia"/>
          <w:lang w:val="de-CH"/>
        </w:rPr>
        <w:t xml:space="preserve">. </w:t>
      </w:r>
      <w:r w:rsidR="0038466D">
        <w:rPr>
          <w:rFonts w:eastAsiaTheme="minorEastAsia"/>
          <w:lang w:val="de-CH"/>
        </w:rPr>
        <w:t xml:space="preserve">D.h. die prozentuale Aufteilung </w:t>
      </w:r>
      <w:r w:rsidR="00B005F7">
        <w:rPr>
          <w:rFonts w:eastAsiaTheme="minorEastAsia"/>
          <w:lang w:val="de-CH"/>
        </w:rPr>
        <w:t xml:space="preserve">im GPP </w:t>
      </w:r>
      <w:r w:rsidR="0038466D">
        <w:rPr>
          <w:rFonts w:eastAsiaTheme="minorEastAsia"/>
          <w:lang w:val="de-CH"/>
        </w:rPr>
        <w:t xml:space="preserve">ist eigentlich gemäss </w:t>
      </w:r>
      <m:oMath>
        <m:sSubSup>
          <m:sSubSupPr>
            <m:ctrlPr>
              <w:rPr>
                <w:rFonts w:ascii="Cambria Math" w:eastAsiaTheme="minorEastAsia" w:hAnsi="Cambria Math"/>
                <w:i/>
                <w:lang w:val="de-CH"/>
              </w:rPr>
            </m:ctrlPr>
          </m:sSubSupPr>
          <m:e>
            <m:r>
              <w:rPr>
                <w:rFonts w:ascii="Cambria Math" w:eastAsiaTheme="minorEastAsia" w:hAnsi="Cambria Math"/>
                <w:lang w:val="de-CH"/>
              </w:rPr>
              <m:t>EKR</m:t>
            </m:r>
          </m:e>
          <m:sub>
            <m:r>
              <w:rPr>
                <w:rFonts w:ascii="Cambria Math" w:eastAsiaTheme="minorEastAsia" w:hAnsi="Cambria Math"/>
                <w:lang w:val="de-CH"/>
              </w:rPr>
              <m:t>t</m:t>
            </m:r>
          </m:sub>
          <m:sup>
            <m:r>
              <w:rPr>
                <w:rFonts w:ascii="Cambria Math" w:eastAsiaTheme="minorEastAsia" w:hAnsi="Cambria Math"/>
                <w:lang w:val="de-CH"/>
              </w:rPr>
              <m:t>k</m:t>
            </m:r>
          </m:sup>
        </m:sSubSup>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f</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sSubSup>
          <m:sSubSupPr>
            <m:ctrlPr>
              <w:rPr>
                <w:rFonts w:ascii="Cambria Math" w:eastAsiaTheme="minorEastAsia" w:hAnsi="Cambria Math"/>
                <w:i/>
                <w:lang w:val="de-CH"/>
              </w:rPr>
            </m:ctrlPr>
          </m:sSubSupPr>
          <m:e>
            <m:r>
              <w:rPr>
                <w:rFonts w:ascii="Cambria Math" w:eastAsiaTheme="minorEastAsia" w:hAnsi="Cambria Math"/>
                <w:lang w:val="de-CH"/>
              </w:rPr>
              <m:t>M</m:t>
            </m:r>
          </m:e>
          <m:sub>
            <m:r>
              <w:rPr>
                <w:rFonts w:ascii="Cambria Math" w:eastAsiaTheme="minorEastAsia" w:hAnsi="Cambria Math"/>
                <w:lang w:val="de-CH"/>
              </w:rPr>
              <m:t>t</m:t>
            </m:r>
          </m:sub>
          <m:sup>
            <m:r>
              <w:rPr>
                <w:rFonts w:ascii="Cambria Math" w:eastAsiaTheme="minorEastAsia" w:hAnsi="Cambria Math"/>
                <w:lang w:val="de-CH"/>
              </w:rPr>
              <m:t>k</m:t>
            </m:r>
          </m:sup>
        </m:sSubSup>
        <m:r>
          <w:rPr>
            <w:rFonts w:ascii="Cambria Math" w:eastAsiaTheme="minorEastAsia" w:hAnsi="Cambria Math"/>
            <w:lang w:val="de-CH"/>
          </w:rPr>
          <m:t>)</m:t>
        </m:r>
      </m:oMath>
      <w:r w:rsidR="0038466D">
        <w:rPr>
          <w:rFonts w:eastAsiaTheme="minorEastAsia"/>
          <w:lang w:val="de-CH"/>
        </w:rPr>
        <w:t xml:space="preserve">, also genau wie in der Evolutionären Portfoliotheorie! </w:t>
      </w:r>
    </w:p>
    <w:p w14:paraId="628E4A55" w14:textId="77777777" w:rsidR="00683FF2" w:rsidRDefault="00683FF2" w:rsidP="00D80594">
      <w:pPr>
        <w:jc w:val="both"/>
        <w:rPr>
          <w:rFonts w:eastAsiaTheme="minorEastAsia"/>
          <w:b/>
          <w:lang w:val="de-CH"/>
        </w:rPr>
      </w:pPr>
      <w:r w:rsidRPr="00683FF2">
        <w:rPr>
          <w:rFonts w:eastAsiaTheme="minorEastAsia"/>
          <w:b/>
          <w:lang w:val="de-CH"/>
        </w:rPr>
        <w:t>Fazit</w:t>
      </w:r>
    </w:p>
    <w:p w14:paraId="07C67B58" w14:textId="0DA9F2E7" w:rsidR="00C4766C" w:rsidRPr="00886F53" w:rsidRDefault="00C4766C" w:rsidP="00D80594">
      <w:pPr>
        <w:jc w:val="both"/>
        <w:rPr>
          <w:rFonts w:eastAsiaTheme="minorEastAsia"/>
          <w:b/>
          <w:lang w:val="de-CH"/>
        </w:rPr>
      </w:pPr>
      <w:r>
        <w:rPr>
          <w:lang w:val="de-CH"/>
        </w:rPr>
        <w:t>Dieses Dokument hat gezeigt, dass die vorgeschlagene Anlagestrategie des Global Portfolio One von Andreas Beck ziemlich genau die evolutionäre Portfolio Strategie ist, die ich mit Ko-autoren über die vergangenen zwanzig Jahre aus theoretischen Überlegungen hergeleitet habe.</w:t>
      </w:r>
      <w:r w:rsidR="00886F53">
        <w:rPr>
          <w:lang w:val="de-CH"/>
        </w:rPr>
        <w:t xml:space="preserve"> Die systemtheoretische Begründung, die Andreas Beck in seinem Buch angibt (Konzept der Nichttrivialen Maschine von </w:t>
      </w:r>
      <w:r w:rsidR="00886F53" w:rsidRPr="00886F53">
        <w:rPr>
          <w:lang w:val="de-CH"/>
        </w:rPr>
        <w:t>Heinz von Foerster</w:t>
      </w:r>
      <w:r w:rsidR="00886F53">
        <w:rPr>
          <w:lang w:val="de-CH"/>
        </w:rPr>
        <w:t xml:space="preserve">), </w:t>
      </w:r>
      <w:r w:rsidR="001346C2">
        <w:rPr>
          <w:lang w:val="de-CH"/>
        </w:rPr>
        <w:t>halte ich allerdings für schwer formalisierbar</w:t>
      </w:r>
      <w:r w:rsidR="00886F53">
        <w:rPr>
          <w:lang w:val="de-CH"/>
        </w:rPr>
        <w:t xml:space="preserve">. </w:t>
      </w:r>
    </w:p>
    <w:p w14:paraId="647697FD" w14:textId="77777777" w:rsidR="00DF19FC" w:rsidRPr="00683FF2" w:rsidRDefault="00683FF2">
      <w:pPr>
        <w:rPr>
          <w:b/>
          <w:lang w:val="de-CH"/>
        </w:rPr>
      </w:pPr>
      <w:r>
        <w:rPr>
          <w:b/>
          <w:lang w:val="de-CH"/>
        </w:rPr>
        <w:t>Literaturangaben</w:t>
      </w:r>
    </w:p>
    <w:p w14:paraId="34B1A784" w14:textId="77777777" w:rsidR="00CE06B9" w:rsidRDefault="00CE06B9">
      <w:pPr>
        <w:rPr>
          <w:lang w:val="de-CH"/>
        </w:rPr>
      </w:pPr>
      <w:r>
        <w:rPr>
          <w:lang w:val="de-CH"/>
        </w:rPr>
        <w:t>Bücher</w:t>
      </w:r>
    </w:p>
    <w:p w14:paraId="1E744E4B" w14:textId="77777777" w:rsidR="00CE06B9" w:rsidRDefault="00CE06B9">
      <w:pPr>
        <w:rPr>
          <w:lang w:val="de-CH"/>
        </w:rPr>
      </w:pPr>
      <w:r>
        <w:rPr>
          <w:lang w:val="de-CH"/>
        </w:rPr>
        <w:t>Beck, Andreas (2021):</w:t>
      </w:r>
      <w:r w:rsidRPr="00CE06B9">
        <w:rPr>
          <w:lang w:val="de-CH"/>
        </w:rPr>
        <w:t xml:space="preserve"> «Erfolgreich Wissenschaftlich Investieren»</w:t>
      </w:r>
      <w:r>
        <w:rPr>
          <w:lang w:val="de-CH"/>
        </w:rPr>
        <w:t>, Verlag?</w:t>
      </w:r>
    </w:p>
    <w:p w14:paraId="6EEC56D4" w14:textId="77777777" w:rsidR="00CE06B9" w:rsidRPr="00F936AF" w:rsidRDefault="00CE06B9">
      <w:pPr>
        <w:rPr>
          <w:lang w:val="de-CH"/>
        </w:rPr>
      </w:pPr>
      <w:r w:rsidRPr="00F936AF">
        <w:rPr>
          <w:lang w:val="de-CH"/>
        </w:rPr>
        <w:t>Hens, Thorsten und</w:t>
      </w:r>
      <w:r w:rsidR="00F936AF" w:rsidRPr="00F936AF">
        <w:rPr>
          <w:lang w:val="de-CH"/>
        </w:rPr>
        <w:t xml:space="preserve"> Klaus Reiner Schenk-Hoppe (2009</w:t>
      </w:r>
      <w:r w:rsidRPr="00F936AF">
        <w:rPr>
          <w:lang w:val="de-CH"/>
        </w:rPr>
        <w:t xml:space="preserve">) «Handbook of </w:t>
      </w:r>
      <w:r w:rsidR="00F936AF" w:rsidRPr="00F936AF">
        <w:rPr>
          <w:lang w:val="de-CH"/>
        </w:rPr>
        <w:t xml:space="preserve">Financial Markets: Dynamics and Evolution», Elsevier, North-Holland, Amsterdam, insbesondere Kapitel 9 </w:t>
      </w:r>
      <w:r w:rsidR="00F936AF">
        <w:rPr>
          <w:lang w:val="de-CH"/>
        </w:rPr>
        <w:t xml:space="preserve">«Evolutionary Finance». </w:t>
      </w:r>
    </w:p>
    <w:p w14:paraId="7BCBFD12" w14:textId="77777777" w:rsidR="00CE06B9" w:rsidRPr="001346C2" w:rsidRDefault="00CE06B9">
      <w:pPr>
        <w:rPr>
          <w:lang w:val="de-DE"/>
        </w:rPr>
      </w:pPr>
      <w:r w:rsidRPr="001346C2">
        <w:rPr>
          <w:lang w:val="de-DE"/>
        </w:rPr>
        <w:t>Youtube</w:t>
      </w:r>
    </w:p>
    <w:p w14:paraId="5BB897B2" w14:textId="77777777" w:rsidR="00CE06B9" w:rsidRPr="001346C2" w:rsidRDefault="00CE06B9">
      <w:pPr>
        <w:rPr>
          <w:lang w:val="de-DE"/>
        </w:rPr>
      </w:pPr>
      <w:r w:rsidRPr="001346C2">
        <w:rPr>
          <w:lang w:val="de-DE"/>
        </w:rPr>
        <w:t>Beck Andreas</w:t>
      </w:r>
    </w:p>
    <w:p w14:paraId="53A060C1" w14:textId="77777777" w:rsidR="000A5831" w:rsidRPr="000A5831" w:rsidRDefault="000A5831" w:rsidP="000A5831">
      <w:pPr>
        <w:rPr>
          <w:lang w:val="de-CH"/>
        </w:rPr>
      </w:pPr>
      <w:r w:rsidRPr="000A5831">
        <w:rPr>
          <w:lang w:val="de-CH"/>
        </w:rPr>
        <w:t>Mission Money (23.04.19): Konzept Ultrastabilität/Antifragilität (</w:t>
      </w:r>
      <w:hyperlink r:id="rId7" w:history="1">
        <w:r w:rsidRPr="000A5831">
          <w:rPr>
            <w:rStyle w:val="Hyperlink"/>
            <w:lang w:val="de-CH"/>
          </w:rPr>
          <w:t>https://www.youtube.com/watch?v=T213vaAJQD8&amp;t=2448s</w:t>
        </w:r>
      </w:hyperlink>
      <w:r w:rsidRPr="000A5831">
        <w:rPr>
          <w:lang w:val="de-CH"/>
        </w:rPr>
        <w:t>)</w:t>
      </w:r>
    </w:p>
    <w:p w14:paraId="4AACA4D4" w14:textId="77777777" w:rsidR="000A5831" w:rsidRPr="001346C2" w:rsidRDefault="000A5831" w:rsidP="000A5831">
      <w:pPr>
        <w:rPr>
          <w:lang w:val="de-CH"/>
        </w:rPr>
      </w:pPr>
      <w:r w:rsidRPr="001346C2">
        <w:rPr>
          <w:lang w:val="de-CH"/>
        </w:rPr>
        <w:t>Mission Money (02.03.20): Beginn von Corona (</w:t>
      </w:r>
      <w:hyperlink r:id="rId8" w:history="1">
        <w:r w:rsidRPr="001346C2">
          <w:rPr>
            <w:rStyle w:val="Hyperlink"/>
            <w:lang w:val="de-CH"/>
          </w:rPr>
          <w:t>https://www.youtube.com/watch?v=mK6sh3f4TDU&amp;t=2107s</w:t>
        </w:r>
      </w:hyperlink>
      <w:r w:rsidRPr="001346C2">
        <w:rPr>
          <w:lang w:val="de-CH"/>
        </w:rPr>
        <w:t>)  </w:t>
      </w:r>
    </w:p>
    <w:p w14:paraId="5C3C3540" w14:textId="77777777" w:rsidR="000A5831" w:rsidRPr="000A5831" w:rsidRDefault="000A5831" w:rsidP="000A5831">
      <w:pPr>
        <w:rPr>
          <w:lang w:val="de-CH"/>
        </w:rPr>
      </w:pPr>
      <w:r w:rsidRPr="000A5831">
        <w:rPr>
          <w:lang w:val="de-CH"/>
        </w:rPr>
        <w:t>Mission Money (22.03.20): Regimewechsel in der Corona Krise (</w:t>
      </w:r>
      <w:hyperlink r:id="rId9" w:history="1">
        <w:r w:rsidRPr="000A5831">
          <w:rPr>
            <w:rStyle w:val="Hyperlink"/>
            <w:lang w:val="de-CH"/>
          </w:rPr>
          <w:t>https://www.youtube.com/watch?v=WtLwT9cxaXQ&amp;t=2178s</w:t>
        </w:r>
      </w:hyperlink>
      <w:r w:rsidRPr="000A5831">
        <w:rPr>
          <w:lang w:val="de-CH"/>
        </w:rPr>
        <w:t>)</w:t>
      </w:r>
    </w:p>
    <w:p w14:paraId="0CD3C918" w14:textId="77777777" w:rsidR="000A5831" w:rsidRPr="000A5831" w:rsidRDefault="000A5831" w:rsidP="000A5831">
      <w:pPr>
        <w:rPr>
          <w:lang w:val="de-CH"/>
        </w:rPr>
      </w:pPr>
      <w:r w:rsidRPr="000A5831">
        <w:rPr>
          <w:lang w:val="de-CH"/>
        </w:rPr>
        <w:lastRenderedPageBreak/>
        <w:t>Mission Money (09.07.20): Regimewechsel nach den Rettungsmaßnahmen (</w:t>
      </w:r>
      <w:hyperlink r:id="rId10" w:history="1">
        <w:r w:rsidRPr="000A5831">
          <w:rPr>
            <w:rStyle w:val="Hyperlink"/>
            <w:lang w:val="de-CH"/>
          </w:rPr>
          <w:t>https://www.youtube.com/watch?v=uAw6S8ntNd0&amp;t=1660s</w:t>
        </w:r>
      </w:hyperlink>
      <w:r w:rsidRPr="000A5831">
        <w:rPr>
          <w:lang w:val="de-CH"/>
        </w:rPr>
        <w:t>)</w:t>
      </w:r>
    </w:p>
    <w:p w14:paraId="33D66653" w14:textId="77777777" w:rsidR="000A5831" w:rsidRPr="001346C2" w:rsidRDefault="000A5831" w:rsidP="000A5831">
      <w:pPr>
        <w:rPr>
          <w:lang w:val="de-DE"/>
        </w:rPr>
      </w:pPr>
      <w:r w:rsidRPr="001346C2">
        <w:rPr>
          <w:lang w:val="de-DE"/>
        </w:rPr>
        <w:t xml:space="preserve">Mission Money (13.10.20): Umbau der Investitionsreserve </w:t>
      </w:r>
      <w:r w:rsidRPr="001346C2">
        <w:rPr>
          <w:lang w:val="de-DE"/>
        </w:rPr>
        <w:br/>
        <w:t>(</w:t>
      </w:r>
      <w:hyperlink r:id="rId11" w:history="1">
        <w:r w:rsidRPr="001346C2">
          <w:rPr>
            <w:rStyle w:val="Hyperlink"/>
            <w:lang w:val="de-DE"/>
          </w:rPr>
          <w:t>https://www.youtube.com/watch?v=wTV-A49VzTs</w:t>
        </w:r>
      </w:hyperlink>
      <w:r w:rsidRPr="001346C2">
        <w:rPr>
          <w:lang w:val="de-DE"/>
        </w:rPr>
        <w:t>) </w:t>
      </w:r>
    </w:p>
    <w:p w14:paraId="4320585E" w14:textId="77777777" w:rsidR="000A5831" w:rsidRPr="001346C2" w:rsidRDefault="000A5831">
      <w:pPr>
        <w:rPr>
          <w:lang w:val="de-DE"/>
        </w:rPr>
      </w:pPr>
      <w:r w:rsidRPr="001346C2">
        <w:rPr>
          <w:lang w:val="de-DE"/>
        </w:rPr>
        <w:t>Thorsten Hens</w:t>
      </w:r>
    </w:p>
    <w:p w14:paraId="4AEADC4C" w14:textId="77777777" w:rsidR="0035272D" w:rsidRDefault="000A5831">
      <w:pPr>
        <w:rPr>
          <w:lang w:val="de-CH"/>
        </w:rPr>
      </w:pPr>
      <w:r w:rsidRPr="000A5831">
        <w:rPr>
          <w:lang w:val="de-CH"/>
        </w:rPr>
        <w:t>Finance im Alltag: Biologie der F</w:t>
      </w:r>
      <w:r>
        <w:rPr>
          <w:lang w:val="de-CH"/>
        </w:rPr>
        <w:t>inanzmärkte</w:t>
      </w:r>
    </w:p>
    <w:p w14:paraId="2F123AC2" w14:textId="77777777" w:rsidR="000A5831" w:rsidRPr="0035272D" w:rsidRDefault="007126CA">
      <w:pPr>
        <w:rPr>
          <w:lang w:val="de-CH"/>
        </w:rPr>
      </w:pPr>
      <w:hyperlink r:id="rId12" w:history="1">
        <w:r w:rsidR="0035272D" w:rsidRPr="0035272D">
          <w:rPr>
            <w:rStyle w:val="Hyperlink"/>
            <w:lang w:val="de-CH"/>
          </w:rPr>
          <w:t>https://www.youtube.com/watch?v=g5ynij0-Qng</w:t>
        </w:r>
      </w:hyperlink>
    </w:p>
    <w:p w14:paraId="6964F493" w14:textId="77777777" w:rsidR="0035272D" w:rsidRPr="0035272D" w:rsidRDefault="0035272D">
      <w:pPr>
        <w:rPr>
          <w:lang w:val="en-US"/>
        </w:rPr>
      </w:pPr>
      <w:r w:rsidRPr="0035272D">
        <w:rPr>
          <w:lang w:val="en-US"/>
        </w:rPr>
        <w:t>When Greta meets Warren</w:t>
      </w:r>
      <w:r>
        <w:rPr>
          <w:lang w:val="en-US"/>
        </w:rPr>
        <w:t>: The impact of sustainable investing on investment factors like value</w:t>
      </w:r>
    </w:p>
    <w:p w14:paraId="61078BE9" w14:textId="77777777" w:rsidR="0035272D" w:rsidRDefault="007126CA">
      <w:pPr>
        <w:rPr>
          <w:lang w:val="en-US"/>
        </w:rPr>
      </w:pPr>
      <w:hyperlink r:id="rId13" w:history="1">
        <w:r w:rsidR="0035272D" w:rsidRPr="001517AA">
          <w:rPr>
            <w:rStyle w:val="Hyperlink"/>
            <w:lang w:val="en-US"/>
          </w:rPr>
          <w:t>https://www.youtube.com/watch?v=kpjlgiwWa_k</w:t>
        </w:r>
      </w:hyperlink>
    </w:p>
    <w:p w14:paraId="798F41AF" w14:textId="77777777" w:rsidR="0035272D" w:rsidRDefault="0035272D">
      <w:pPr>
        <w:rPr>
          <w:lang w:val="en-US"/>
        </w:rPr>
      </w:pPr>
      <w:r>
        <w:rPr>
          <w:lang w:val="en-US"/>
        </w:rPr>
        <w:t>Evolutionary Portfolio Theory</w:t>
      </w:r>
      <w:r w:rsidR="001B1979">
        <w:rPr>
          <w:lang w:val="en-US"/>
        </w:rPr>
        <w:t xml:space="preserve"> (</w:t>
      </w:r>
      <w:r>
        <w:rPr>
          <w:lang w:val="en-US"/>
        </w:rPr>
        <w:t>Istanbul Commerce University</w:t>
      </w:r>
      <w:r w:rsidR="001B1979">
        <w:rPr>
          <w:lang w:val="en-US"/>
        </w:rPr>
        <w:t xml:space="preserve"> </w:t>
      </w:r>
      <w:r>
        <w:rPr>
          <w:lang w:val="en-US"/>
        </w:rPr>
        <w:t xml:space="preserve">13.01.2021): </w:t>
      </w:r>
    </w:p>
    <w:p w14:paraId="07D7C0D4" w14:textId="77777777" w:rsidR="0035272D" w:rsidRDefault="007126CA">
      <w:pPr>
        <w:rPr>
          <w:lang w:val="en-US"/>
        </w:rPr>
      </w:pPr>
      <w:hyperlink r:id="rId14" w:history="1">
        <w:r w:rsidR="0035272D" w:rsidRPr="001517AA">
          <w:rPr>
            <w:rStyle w:val="Hyperlink"/>
            <w:lang w:val="en-US"/>
          </w:rPr>
          <w:t>https://www.youtube.com/watch?v=PucBRJwZjFA</w:t>
        </w:r>
      </w:hyperlink>
    </w:p>
    <w:p w14:paraId="7B0D2801" w14:textId="77777777" w:rsidR="0035272D" w:rsidRPr="0035272D" w:rsidRDefault="0035272D">
      <w:pPr>
        <w:rPr>
          <w:rFonts w:ascii="Calibri" w:hAnsi="Calibri" w:cs="Calibri"/>
          <w:lang w:val="en-US"/>
        </w:rPr>
      </w:pPr>
      <w:r w:rsidRPr="0035272D">
        <w:rPr>
          <w:rFonts w:ascii="Calibri" w:hAnsi="Calibri" w:cs="Calibri"/>
          <w:lang w:val="en-US"/>
        </w:rPr>
        <w:t xml:space="preserve">Evolutionary Portfolio Theory: An Alternative to CAPM (CFA-Switzerland </w:t>
      </w:r>
      <w:r>
        <w:rPr>
          <w:rFonts w:ascii="Calibri" w:hAnsi="Calibri" w:cs="Calibri"/>
          <w:lang w:val="en-US"/>
        </w:rPr>
        <w:t>09.07.2017)</w:t>
      </w:r>
    </w:p>
    <w:p w14:paraId="42C4A7E6" w14:textId="77777777" w:rsidR="0035272D" w:rsidRPr="0035272D" w:rsidRDefault="007126CA">
      <w:pPr>
        <w:rPr>
          <w:lang w:val="en-US"/>
        </w:rPr>
      </w:pPr>
      <w:hyperlink r:id="rId15" w:history="1">
        <w:r w:rsidR="0035272D">
          <w:rPr>
            <w:rStyle w:val="Hyperlink"/>
            <w:rFonts w:ascii="Calibri" w:hAnsi="Calibri" w:cs="Calibri"/>
          </w:rPr>
          <w:t>https://youtu.be/jY4kpFe98nk</w:t>
        </w:r>
      </w:hyperlink>
      <w:r w:rsidR="0035272D">
        <w:rPr>
          <w:rFonts w:ascii="Calibri" w:hAnsi="Calibri" w:cs="Calibri"/>
          <w:color w:val="1F497D"/>
        </w:rPr>
        <w:t xml:space="preserve"> </w:t>
      </w:r>
    </w:p>
    <w:p w14:paraId="0D69EE03" w14:textId="77777777" w:rsidR="0035272D" w:rsidRPr="0035272D" w:rsidRDefault="0035272D">
      <w:pPr>
        <w:rPr>
          <w:lang w:val="en-US"/>
        </w:rPr>
      </w:pPr>
    </w:p>
    <w:sectPr w:rsidR="0035272D" w:rsidRPr="0035272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5D6AA" w14:textId="77777777" w:rsidR="007126CA" w:rsidRDefault="007126CA" w:rsidP="0025715C">
      <w:pPr>
        <w:spacing w:after="0" w:line="240" w:lineRule="auto"/>
      </w:pPr>
      <w:r>
        <w:separator/>
      </w:r>
    </w:p>
  </w:endnote>
  <w:endnote w:type="continuationSeparator" w:id="0">
    <w:p w14:paraId="69FE656A" w14:textId="77777777" w:rsidR="007126CA" w:rsidRDefault="007126CA" w:rsidP="0025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30306" w14:textId="77777777" w:rsidR="007126CA" w:rsidRDefault="007126CA" w:rsidP="0025715C">
      <w:pPr>
        <w:spacing w:after="0" w:line="240" w:lineRule="auto"/>
      </w:pPr>
      <w:r>
        <w:separator/>
      </w:r>
    </w:p>
  </w:footnote>
  <w:footnote w:type="continuationSeparator" w:id="0">
    <w:p w14:paraId="073A80ED" w14:textId="77777777" w:rsidR="007126CA" w:rsidRDefault="007126CA" w:rsidP="0025715C">
      <w:pPr>
        <w:spacing w:after="0" w:line="240" w:lineRule="auto"/>
      </w:pPr>
      <w:r>
        <w:continuationSeparator/>
      </w:r>
    </w:p>
  </w:footnote>
  <w:footnote w:id="1">
    <w:p w14:paraId="6BD79941" w14:textId="77777777" w:rsidR="0025715C" w:rsidRPr="0025715C" w:rsidRDefault="0025715C">
      <w:pPr>
        <w:pStyle w:val="Funotentext"/>
        <w:rPr>
          <w:lang w:val="de-CH"/>
        </w:rPr>
      </w:pPr>
      <w:r>
        <w:rPr>
          <w:rStyle w:val="Funotenzeichen"/>
        </w:rPr>
        <w:footnoteRef/>
      </w:r>
      <w:r w:rsidRPr="0025715C">
        <w:rPr>
          <w:lang w:val="de-CH"/>
        </w:rPr>
        <w:t xml:space="preserve"> </w:t>
      </w:r>
      <w:r>
        <w:rPr>
          <w:lang w:val="de-CH"/>
        </w:rPr>
        <w:t xml:space="preserve">Ein ETF </w:t>
      </w:r>
      <w:r w:rsidRPr="0025715C">
        <w:rPr>
          <w:lang w:val="de-CH"/>
        </w:rPr>
        <w:t>bildet einen A</w:t>
      </w:r>
      <w:r>
        <w:rPr>
          <w:lang w:val="de-CH"/>
        </w:rPr>
        <w:t xml:space="preserve">ktienindex durch Zusammenstellen der wesentlichen Titel des Indexes proportional zur Grösse, d.h. zur Marktkapitalisierung der Aktien, ab. </w:t>
      </w:r>
    </w:p>
  </w:footnote>
  <w:footnote w:id="2">
    <w:p w14:paraId="491F343F" w14:textId="77777777" w:rsidR="00CB3A02" w:rsidRPr="00CB3A02" w:rsidRDefault="00CB3A02">
      <w:pPr>
        <w:pStyle w:val="Funotentext"/>
        <w:rPr>
          <w:lang w:val="de-CH"/>
        </w:rPr>
      </w:pPr>
      <w:r>
        <w:rPr>
          <w:rStyle w:val="Funotenzeichen"/>
        </w:rPr>
        <w:footnoteRef/>
      </w:r>
      <w:r w:rsidRPr="00CB3A02">
        <w:rPr>
          <w:lang w:val="de-CH"/>
        </w:rPr>
        <w:t xml:space="preserve"> </w:t>
      </w:r>
      <w:r>
        <w:rPr>
          <w:lang w:val="de-CH"/>
        </w:rPr>
        <w:t xml:space="preserve">Unternehmen nehmen Eigenkapital, vor allem in Form von Aktienausgabe auf. Der Gewinn relativ zum eingesetzten Eigenkapital ist die Eigenkapitalrendite. </w:t>
      </w:r>
    </w:p>
  </w:footnote>
  <w:footnote w:id="3">
    <w:p w14:paraId="4D242270" w14:textId="77777777" w:rsidR="00CD4F14" w:rsidRPr="00CE38BC" w:rsidRDefault="00CD4F14">
      <w:pPr>
        <w:pStyle w:val="Funotentext"/>
        <w:rPr>
          <w:lang w:val="de-CH"/>
        </w:rPr>
      </w:pPr>
      <w:r>
        <w:rPr>
          <w:rStyle w:val="Funotenzeichen"/>
        </w:rPr>
        <w:footnoteRef/>
      </w:r>
      <w:r w:rsidRPr="00CE38BC">
        <w:rPr>
          <w:lang w:val="de-CH"/>
        </w:rPr>
        <w:t xml:space="preserve"> In Krisenphasen </w:t>
      </w:r>
      <w:r w:rsidR="00CE38BC">
        <w:rPr>
          <w:lang w:val="de-CH"/>
        </w:rPr>
        <w:t xml:space="preserve">sind </w:t>
      </w:r>
      <w:r w:rsidRPr="00CE38BC">
        <w:rPr>
          <w:lang w:val="de-CH"/>
        </w:rPr>
        <w:t xml:space="preserve">viele Anleger </w:t>
      </w:r>
      <w:r w:rsidR="00CE38BC">
        <w:rPr>
          <w:lang w:val="de-CH"/>
        </w:rPr>
        <w:t xml:space="preserve">nicht mehr auf die </w:t>
      </w:r>
      <w:r w:rsidR="00CE38BC" w:rsidRPr="00516E7B">
        <w:rPr>
          <w:b/>
          <w:lang w:val="de-CH"/>
        </w:rPr>
        <w:t xml:space="preserve">zukünftige </w:t>
      </w:r>
      <w:r w:rsidR="00CE38BC">
        <w:rPr>
          <w:lang w:val="de-CH"/>
        </w:rPr>
        <w:t xml:space="preserve">Rendite ausgerichtet, sondern sie verkaufen aus psychologischen Gründen (sie halten die Verluste nicht mehr aus), aus regulatorischen Gründen (ihre </w:t>
      </w:r>
      <w:r w:rsidR="007E3B6C">
        <w:rPr>
          <w:lang w:val="de-CH"/>
        </w:rPr>
        <w:t xml:space="preserve">Risikofähigkeit, zum Beispiel der Deckungsgrad bei Pensionskassen, </w:t>
      </w:r>
      <w:r w:rsidR="00CE38BC">
        <w:rPr>
          <w:lang w:val="de-CH"/>
        </w:rPr>
        <w:t>ist erschöpft) oder aus Vorsichtsgründen (ihr Risikomanagement, zum Beispiel basierend auf der Volatilität</w:t>
      </w:r>
      <w:r w:rsidR="004C2BC7">
        <w:rPr>
          <w:lang w:val="de-CH"/>
        </w:rPr>
        <w:t>, fordert eine Reduktion der Aktienquote</w:t>
      </w:r>
      <w:r w:rsidR="00CE38BC">
        <w:rPr>
          <w:lang w:val="de-CH"/>
        </w:rPr>
        <w:t xml:space="preserve">).  </w:t>
      </w:r>
    </w:p>
  </w:footnote>
  <w:footnote w:id="4">
    <w:p w14:paraId="7E49FC73" w14:textId="77777777" w:rsidR="00097BE7" w:rsidRPr="00097BE7" w:rsidRDefault="00097BE7">
      <w:pPr>
        <w:pStyle w:val="Funotentext"/>
        <w:rPr>
          <w:lang w:val="de-CH"/>
        </w:rPr>
      </w:pPr>
      <w:r>
        <w:rPr>
          <w:rStyle w:val="Funotenzeichen"/>
        </w:rPr>
        <w:footnoteRef/>
      </w:r>
      <w:r w:rsidRPr="00097BE7">
        <w:rPr>
          <w:lang w:val="de-CH"/>
        </w:rPr>
        <w:t xml:space="preserve"> Vor allem möchte ich Rabah Am</w:t>
      </w:r>
      <w:r>
        <w:rPr>
          <w:lang w:val="de-CH"/>
        </w:rPr>
        <w:t xml:space="preserve">ir, Igor Evstigneev und Klaus Reiner Schenk Hoppe hervorheben. </w:t>
      </w:r>
    </w:p>
  </w:footnote>
  <w:footnote w:id="5">
    <w:p w14:paraId="7766B8D7" w14:textId="77777777" w:rsidR="00B6395C" w:rsidRPr="00B6395C" w:rsidRDefault="00B6395C">
      <w:pPr>
        <w:pStyle w:val="Funotentext"/>
        <w:rPr>
          <w:lang w:val="de-CH"/>
        </w:rPr>
      </w:pPr>
      <w:r>
        <w:rPr>
          <w:rStyle w:val="Funotenzeichen"/>
        </w:rPr>
        <w:footnoteRef/>
      </w:r>
      <w:r w:rsidRPr="00B6395C">
        <w:rPr>
          <w:lang w:val="de-CH"/>
        </w:rPr>
        <w:t xml:space="preserve"> Den Quotienten aus der Überrendite einer </w:t>
      </w:r>
      <w:r>
        <w:rPr>
          <w:lang w:val="de-CH"/>
        </w:rPr>
        <w:t xml:space="preserve">Aktie relativ zum risikofreien Zins dividiert durch die Volatilität der Aktie nennt man nach dem Erfinder Bill Sharpe, die Sharpe-Ratio. </w:t>
      </w:r>
    </w:p>
  </w:footnote>
  <w:footnote w:id="6">
    <w:p w14:paraId="3ACE140E" w14:textId="77777777" w:rsidR="00B72EB0" w:rsidRPr="00B72EB0" w:rsidRDefault="00B72EB0">
      <w:pPr>
        <w:pStyle w:val="Funotentext"/>
        <w:rPr>
          <w:lang w:val="de-CH"/>
        </w:rPr>
      </w:pPr>
      <w:r>
        <w:rPr>
          <w:rStyle w:val="Funotenzeichen"/>
        </w:rPr>
        <w:footnoteRef/>
      </w:r>
      <w:r w:rsidRPr="00B72EB0">
        <w:rPr>
          <w:lang w:val="de-CH"/>
        </w:rPr>
        <w:t xml:space="preserve"> D.h., wenn die relative</w:t>
      </w:r>
      <w:r>
        <w:rPr>
          <w:lang w:val="de-CH"/>
        </w:rPr>
        <w:t>n</w:t>
      </w:r>
      <w:r w:rsidRPr="00B72EB0">
        <w:rPr>
          <w:lang w:val="de-CH"/>
        </w:rPr>
        <w:t xml:space="preserve"> D</w:t>
      </w:r>
      <w:r>
        <w:rPr>
          <w:lang w:val="de-CH"/>
        </w:rPr>
        <w:t xml:space="preserve">ividenden über die Zeit, wie bei einem wiederholten Münzwurf, identisch und unabhängig voneinander verteilt sind. </w:t>
      </w:r>
    </w:p>
  </w:footnote>
  <w:footnote w:id="7">
    <w:p w14:paraId="0EE431FC" w14:textId="77777777" w:rsidR="00D50E2B" w:rsidRPr="00D50E2B" w:rsidRDefault="00D50E2B">
      <w:pPr>
        <w:pStyle w:val="Funotentext"/>
        <w:rPr>
          <w:lang w:val="de-CH"/>
        </w:rPr>
      </w:pPr>
      <w:r>
        <w:rPr>
          <w:rStyle w:val="Funotenzeichen"/>
        </w:rPr>
        <w:footnoteRef/>
      </w:r>
      <w:r w:rsidRPr="00D50E2B">
        <w:rPr>
          <w:lang w:val="de-CH"/>
        </w:rPr>
        <w:t xml:space="preserve"> </w:t>
      </w:r>
      <w:r w:rsidR="008601A7">
        <w:rPr>
          <w:lang w:val="de-CH"/>
        </w:rPr>
        <w:t xml:space="preserve">Kapital ist </w:t>
      </w:r>
      <w:r>
        <w:rPr>
          <w:lang w:val="de-CH"/>
        </w:rPr>
        <w:t xml:space="preserve">Eigenkapital und Fremdkapital. Aber bei gegebenem Fremdkapital ist der Gewinn dann immer noch eine Funktion des Eigenkapitals. </w:t>
      </w:r>
    </w:p>
  </w:footnote>
  <w:footnote w:id="8">
    <w:p w14:paraId="635E3C4E" w14:textId="77777777" w:rsidR="001A3955" w:rsidRPr="001A3955" w:rsidRDefault="001A3955">
      <w:pPr>
        <w:pStyle w:val="Funotentext"/>
        <w:rPr>
          <w:lang w:val="de-CH"/>
        </w:rPr>
      </w:pPr>
      <w:r>
        <w:rPr>
          <w:rStyle w:val="Funotenzeichen"/>
        </w:rPr>
        <w:footnoteRef/>
      </w:r>
      <w:r w:rsidRPr="001A3955">
        <w:rPr>
          <w:lang w:val="de-CH"/>
        </w:rPr>
        <w:t xml:space="preserve"> </w:t>
      </w:r>
      <w:r w:rsidR="00771844">
        <w:rPr>
          <w:lang w:val="de-CH"/>
        </w:rPr>
        <w:t>Beliebt sind bei Unternehmen</w:t>
      </w:r>
      <w:r w:rsidRPr="001A3955">
        <w:rPr>
          <w:lang w:val="de-CH"/>
        </w:rPr>
        <w:t xml:space="preserve"> feste A</w:t>
      </w:r>
      <w:r>
        <w:rPr>
          <w:lang w:val="de-CH"/>
        </w:rPr>
        <w:t>ufteilungsr</w:t>
      </w:r>
      <w:r w:rsidR="00771844">
        <w:rPr>
          <w:lang w:val="de-CH"/>
        </w:rPr>
        <w:t>egeln, zum Beispiel, dass</w:t>
      </w:r>
      <w:r>
        <w:rPr>
          <w:lang w:val="de-CH"/>
        </w:rPr>
        <w:t xml:space="preserve"> als Dividenden die Hälfte der Gewinne ausgeschüttet werden. </w:t>
      </w:r>
      <w:r w:rsidR="00001835">
        <w:rPr>
          <w:lang w:val="de-CH"/>
        </w:rPr>
        <w:t xml:space="preserve">Aber jede andere Funktion kann hier angenommen werden. </w:t>
      </w:r>
    </w:p>
  </w:footnote>
  <w:footnote w:id="9">
    <w:p w14:paraId="313C592C" w14:textId="77777777" w:rsidR="009171B7" w:rsidRPr="009171B7" w:rsidRDefault="009171B7">
      <w:pPr>
        <w:pStyle w:val="Funotentext"/>
        <w:rPr>
          <w:lang w:val="de-CH"/>
        </w:rPr>
      </w:pPr>
      <w:r>
        <w:rPr>
          <w:rStyle w:val="Funotenzeichen"/>
        </w:rPr>
        <w:footnoteRef/>
      </w:r>
      <w:r w:rsidRPr="009171B7">
        <w:rPr>
          <w:lang w:val="de-CH"/>
        </w:rPr>
        <w:t xml:space="preserve"> In </w:t>
      </w:r>
      <w:r w:rsidR="008601A7">
        <w:rPr>
          <w:lang w:val="de-CH"/>
        </w:rPr>
        <w:t xml:space="preserve">den </w:t>
      </w:r>
      <w:r w:rsidRPr="009171B7">
        <w:rPr>
          <w:lang w:val="de-CH"/>
        </w:rPr>
        <w:t xml:space="preserve">Proceedings of the National </w:t>
      </w:r>
      <w:r>
        <w:rPr>
          <w:lang w:val="de-CH"/>
        </w:rPr>
        <w:t xml:space="preserve">Academie of Science </w:t>
      </w:r>
      <w:r w:rsidR="008601A7">
        <w:rPr>
          <w:lang w:val="de-CH"/>
        </w:rPr>
        <w:t xml:space="preserve">haben wir empirisch gezeigt, </w:t>
      </w:r>
      <w:r>
        <w:rPr>
          <w:lang w:val="de-CH"/>
        </w:rPr>
        <w:t xml:space="preserve">dass die Funktion f gut durch die einfache Funktion </w:t>
      </w:r>
      <m:oMath>
        <m:sSubSup>
          <m:sSubSupPr>
            <m:ctrlPr>
              <w:rPr>
                <w:rFonts w:ascii="Cambria Math" w:hAnsi="Cambria Math"/>
                <w:i/>
                <w:lang w:val="de-CH"/>
              </w:rPr>
            </m:ctrlPr>
          </m:sSubSupPr>
          <m:e>
            <m:r>
              <w:rPr>
                <w:rFonts w:ascii="Cambria Math" w:hAnsi="Cambria Math"/>
                <w:lang w:val="de-CH"/>
              </w:rPr>
              <m:t>f</m:t>
            </m:r>
          </m:e>
          <m:sub>
            <m:r>
              <w:rPr>
                <w:rFonts w:ascii="Cambria Math" w:hAnsi="Cambria Math"/>
                <w:lang w:val="de-CH"/>
              </w:rPr>
              <m:t>t</m:t>
            </m:r>
          </m:sub>
          <m:sup>
            <m:r>
              <w:rPr>
                <w:rFonts w:ascii="Cambria Math" w:hAnsi="Cambria Math"/>
                <w:lang w:val="de-CH"/>
              </w:rPr>
              <m:t>k</m:t>
            </m:r>
          </m:sup>
        </m:sSubSup>
        <m:d>
          <m:dPr>
            <m:ctrlPr>
              <w:rPr>
                <w:rFonts w:ascii="Cambria Math" w:hAnsi="Cambria Math"/>
                <w:i/>
                <w:lang w:val="de-CH"/>
              </w:rPr>
            </m:ctrlPr>
          </m:dPr>
          <m:e>
            <m:r>
              <w:rPr>
                <w:rFonts w:ascii="Cambria Math" w:hAnsi="Cambria Math"/>
                <w:lang w:val="de-CH"/>
              </w:rPr>
              <m:t>x</m:t>
            </m:r>
          </m:e>
        </m:d>
        <m:r>
          <w:rPr>
            <w:rFonts w:ascii="Cambria Math" w:hAnsi="Cambria Math"/>
            <w:lang w:val="de-CH"/>
          </w:rPr>
          <m:t>=</m:t>
        </m:r>
        <m:sSubSup>
          <m:sSubSupPr>
            <m:ctrlPr>
              <w:rPr>
                <w:rFonts w:ascii="Cambria Math" w:hAnsi="Cambria Math"/>
                <w:i/>
                <w:lang w:val="de-CH"/>
              </w:rPr>
            </m:ctrlPr>
          </m:sSubSupPr>
          <m:e>
            <m:r>
              <w:rPr>
                <w:rFonts w:ascii="Cambria Math" w:hAnsi="Cambria Math"/>
                <w:lang w:val="de-CH"/>
              </w:rPr>
              <m:t>a</m:t>
            </m:r>
          </m:e>
          <m:sub>
            <m:r>
              <w:rPr>
                <w:rFonts w:ascii="Cambria Math" w:hAnsi="Cambria Math"/>
                <w:lang w:val="de-CH"/>
              </w:rPr>
              <m:t>t</m:t>
            </m:r>
          </m:sub>
          <m:sup>
            <m:r>
              <w:rPr>
                <w:rFonts w:ascii="Cambria Math" w:hAnsi="Cambria Math"/>
                <w:lang w:val="de-CH"/>
              </w:rPr>
              <m:t>k</m:t>
            </m:r>
          </m:sup>
        </m:sSubSup>
        <m:sSup>
          <m:sSupPr>
            <m:ctrlPr>
              <w:rPr>
                <w:rFonts w:ascii="Cambria Math" w:hAnsi="Cambria Math"/>
                <w:i/>
                <w:lang w:val="de-CH"/>
              </w:rPr>
            </m:ctrlPr>
          </m:sSupPr>
          <m:e>
            <m:r>
              <w:rPr>
                <w:rFonts w:ascii="Cambria Math" w:hAnsi="Cambria Math"/>
                <w:lang w:val="de-CH"/>
              </w:rPr>
              <m:t>x</m:t>
            </m:r>
          </m:e>
          <m:sup>
            <m:r>
              <w:rPr>
                <w:rFonts w:ascii="Cambria Math" w:hAnsi="Cambria Math"/>
                <w:lang w:val="de-CH"/>
              </w:rPr>
              <m:t>0.8</m:t>
            </m:r>
          </m:sup>
        </m:sSup>
      </m:oMath>
      <w:r>
        <w:rPr>
          <w:rFonts w:eastAsiaTheme="minorEastAsia"/>
          <w:lang w:val="de-CH"/>
        </w:rPr>
        <w:t xml:space="preserve"> beschrieben werden kann. </w:t>
      </w:r>
    </w:p>
  </w:footnote>
  <w:footnote w:id="10">
    <w:p w14:paraId="7335C8D8" w14:textId="77777777" w:rsidR="00B450BF" w:rsidRPr="00B450BF" w:rsidRDefault="00B450BF">
      <w:pPr>
        <w:pStyle w:val="Funotentext"/>
        <w:rPr>
          <w:lang w:val="de-CH"/>
        </w:rPr>
      </w:pPr>
      <w:r>
        <w:rPr>
          <w:rStyle w:val="Funotenzeichen"/>
        </w:rPr>
        <w:footnoteRef/>
      </w:r>
      <w:r w:rsidRPr="00B450BF">
        <w:rPr>
          <w:lang w:val="de-CH"/>
        </w:rPr>
        <w:t xml:space="preserve"> </w:t>
      </w:r>
      <w:r>
        <w:rPr>
          <w:lang w:val="de-CH"/>
        </w:rPr>
        <w:t xml:space="preserve">Aus der Aufteilung des GOP in die verschiedene Regionen, wie sie in </w:t>
      </w:r>
      <w:r w:rsidRPr="00B450BF">
        <w:rPr>
          <w:lang w:val="de-CH"/>
        </w:rPr>
        <w:t>Andreas Be</w:t>
      </w:r>
      <w:r>
        <w:rPr>
          <w:lang w:val="de-CH"/>
        </w:rPr>
        <w:t xml:space="preserve">ck’s Buch auf Seite 18 angegeben ist, ist die Gewichtung nach der Marktgrösse offensichtlich.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FC"/>
    <w:rsid w:val="00001835"/>
    <w:rsid w:val="00047B5E"/>
    <w:rsid w:val="000501FF"/>
    <w:rsid w:val="00097BE7"/>
    <w:rsid w:val="000A5831"/>
    <w:rsid w:val="000B5BB3"/>
    <w:rsid w:val="001346C2"/>
    <w:rsid w:val="001A3955"/>
    <w:rsid w:val="001B1979"/>
    <w:rsid w:val="0025715C"/>
    <w:rsid w:val="0035272D"/>
    <w:rsid w:val="0038466D"/>
    <w:rsid w:val="003F0D98"/>
    <w:rsid w:val="004C2BC7"/>
    <w:rsid w:val="00516B8D"/>
    <w:rsid w:val="00516E7B"/>
    <w:rsid w:val="005D6B8C"/>
    <w:rsid w:val="005E36DD"/>
    <w:rsid w:val="005F7ED3"/>
    <w:rsid w:val="00614A80"/>
    <w:rsid w:val="00636BA5"/>
    <w:rsid w:val="00683FF2"/>
    <w:rsid w:val="006A0AEC"/>
    <w:rsid w:val="007126CA"/>
    <w:rsid w:val="00743503"/>
    <w:rsid w:val="00771844"/>
    <w:rsid w:val="00784AB1"/>
    <w:rsid w:val="007C2EE6"/>
    <w:rsid w:val="007E3B6C"/>
    <w:rsid w:val="0081411C"/>
    <w:rsid w:val="008601A7"/>
    <w:rsid w:val="00886365"/>
    <w:rsid w:val="00886F53"/>
    <w:rsid w:val="008D7D43"/>
    <w:rsid w:val="009171B7"/>
    <w:rsid w:val="009335A6"/>
    <w:rsid w:val="00944A78"/>
    <w:rsid w:val="00956167"/>
    <w:rsid w:val="009E618E"/>
    <w:rsid w:val="00A67A06"/>
    <w:rsid w:val="00A7186C"/>
    <w:rsid w:val="00A82953"/>
    <w:rsid w:val="00B005F7"/>
    <w:rsid w:val="00B450BF"/>
    <w:rsid w:val="00B632B9"/>
    <w:rsid w:val="00B6395C"/>
    <w:rsid w:val="00B72EB0"/>
    <w:rsid w:val="00B91B61"/>
    <w:rsid w:val="00BB580B"/>
    <w:rsid w:val="00BD7F11"/>
    <w:rsid w:val="00C2798E"/>
    <w:rsid w:val="00C40447"/>
    <w:rsid w:val="00C4766C"/>
    <w:rsid w:val="00CB3A02"/>
    <w:rsid w:val="00CD4F14"/>
    <w:rsid w:val="00CE06B9"/>
    <w:rsid w:val="00CE38BC"/>
    <w:rsid w:val="00D50E2B"/>
    <w:rsid w:val="00D6409E"/>
    <w:rsid w:val="00D80594"/>
    <w:rsid w:val="00DF19FC"/>
    <w:rsid w:val="00E0135D"/>
    <w:rsid w:val="00E74286"/>
    <w:rsid w:val="00EC0564"/>
    <w:rsid w:val="00EE0600"/>
    <w:rsid w:val="00F936AF"/>
    <w:rsid w:val="00FB443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4B24"/>
  <w15:chartTrackingRefBased/>
  <w15:docId w15:val="{E019C4FD-8649-4BE5-84EB-1795F7DF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5715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5715C"/>
    <w:rPr>
      <w:sz w:val="20"/>
      <w:szCs w:val="20"/>
      <w:lang w:val="en-GB"/>
    </w:rPr>
  </w:style>
  <w:style w:type="character" w:styleId="Funotenzeichen">
    <w:name w:val="footnote reference"/>
    <w:basedOn w:val="Absatz-Standardschriftart"/>
    <w:uiPriority w:val="99"/>
    <w:semiHidden/>
    <w:unhideWhenUsed/>
    <w:rsid w:val="0025715C"/>
    <w:rPr>
      <w:vertAlign w:val="superscript"/>
    </w:rPr>
  </w:style>
  <w:style w:type="character" w:styleId="Platzhaltertext">
    <w:name w:val="Placeholder Text"/>
    <w:basedOn w:val="Absatz-Standardschriftart"/>
    <w:uiPriority w:val="99"/>
    <w:semiHidden/>
    <w:rsid w:val="00E74286"/>
    <w:rPr>
      <w:color w:val="808080"/>
    </w:rPr>
  </w:style>
  <w:style w:type="character" w:styleId="Hyperlink">
    <w:name w:val="Hyperlink"/>
    <w:rsid w:val="000A5831"/>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1869">
      <w:bodyDiv w:val="1"/>
      <w:marLeft w:val="0"/>
      <w:marRight w:val="0"/>
      <w:marTop w:val="0"/>
      <w:marBottom w:val="0"/>
      <w:divBdr>
        <w:top w:val="none" w:sz="0" w:space="0" w:color="auto"/>
        <w:left w:val="none" w:sz="0" w:space="0" w:color="auto"/>
        <w:bottom w:val="none" w:sz="0" w:space="0" w:color="auto"/>
        <w:right w:val="none" w:sz="0" w:space="0" w:color="auto"/>
      </w:divBdr>
    </w:div>
    <w:div w:id="11205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K6sh3f4TDU&amp;t=2107s" TargetMode="External"/><Relationship Id="rId13" Type="http://schemas.openxmlformats.org/officeDocument/2006/relationships/hyperlink" Target="https://www.youtube.com/watch?v=kpjlgiwWa_k" TargetMode="External"/><Relationship Id="rId3" Type="http://schemas.openxmlformats.org/officeDocument/2006/relationships/settings" Target="settings.xml"/><Relationship Id="rId7" Type="http://schemas.openxmlformats.org/officeDocument/2006/relationships/hyperlink" Target="https://www.youtube.com/watch?v=T213vaAJQD8&amp;t=2448s" TargetMode="External"/><Relationship Id="rId12" Type="http://schemas.openxmlformats.org/officeDocument/2006/relationships/hyperlink" Target="https://www.youtube.com/watch?v=g5ynij0-Q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wTV-A49VzTs" TargetMode="External"/><Relationship Id="rId5" Type="http://schemas.openxmlformats.org/officeDocument/2006/relationships/footnotes" Target="footnotes.xml"/><Relationship Id="rId15" Type="http://schemas.openxmlformats.org/officeDocument/2006/relationships/hyperlink" Target="https://youtu.be/jY4kpFe98nk" TargetMode="External"/><Relationship Id="rId10" Type="http://schemas.openxmlformats.org/officeDocument/2006/relationships/hyperlink" Target="https://www.youtube.com/watch?v=uAw6S8ntNd0&amp;t=1660s" TargetMode="External"/><Relationship Id="rId4" Type="http://schemas.openxmlformats.org/officeDocument/2006/relationships/webSettings" Target="webSettings.xml"/><Relationship Id="rId9" Type="http://schemas.openxmlformats.org/officeDocument/2006/relationships/hyperlink" Target="https://www.youtube.com/watch?v=WtLwT9cxaXQ&amp;t=2178s" TargetMode="External"/><Relationship Id="rId14" Type="http://schemas.openxmlformats.org/officeDocument/2006/relationships/hyperlink" Target="https://www.youtube.com/watch?v=PucBRJwZj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B7714-6299-479D-B235-CF8406257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1275</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Banking &amp; FInance</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Thorsten Hens</dc:creator>
  <cp:keywords/>
  <dc:description/>
  <cp:lastModifiedBy>Andreas Beck</cp:lastModifiedBy>
  <cp:revision>4</cp:revision>
  <dcterms:created xsi:type="dcterms:W3CDTF">2021-01-20T17:32:00Z</dcterms:created>
  <dcterms:modified xsi:type="dcterms:W3CDTF">2021-05-11T08:07:00Z</dcterms:modified>
</cp:coreProperties>
</file>